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600" w:lineRule="atLeast"/>
        <w:textAlignment w:val="bottom"/>
        <w:rPr>
          <w:b/>
          <w:color w:val="000000" w:themeColor="text1"/>
          <w:sz w:val="30"/>
        </w:rPr>
      </w:pPr>
      <w:r>
        <w:rPr>
          <w:color w:val="000000" w:themeColor="text1"/>
        </w:rPr>
        <w:pict>
          <v:shape id="_x0000_s1026" o:spid="_x0000_s1026" o:spt="202" type="#_x0000_t202" style="position:absolute;left:0pt;margin-left:-93.45pt;margin-top:729pt;height:922.2pt;width:597.75pt;z-index:251661312;mso-width-relative:page;mso-height-relative:page;" filled="f" stroked="t" coordsize="21600,21600" o:gfxdata="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2USgl3gAAAA8BAAAPAAAAAAAAAAEAIAAAACIA&#10;AABkcnMvZG93bnJldi54bWxQSwECFAAUAAAACACHTuJAI585zjwCAABWBAAADgAAAAAAAAABACAA&#10;AAAtAQAAZHJzL2Uyb0RvYy54bWxQSwUGAAAAAAYABgBZAQAA2wUAAAAA&#10;">
            <v:path/>
            <v:fill on="f" focussize="0,0"/>
            <v:stroke weight="1pt" color="#FFFFFF" joinstyle="miter"/>
            <v:imagedata o:title=""/>
            <o:lock v:ext="edit"/>
            <v:textbox>
              <w:txbxContent>
                <w:p/>
              </w:txbxContent>
            </v:textbox>
          </v:shape>
        </w:pict>
      </w:r>
      <w:r>
        <w:rPr>
          <w:b/>
          <w:color w:val="000000" w:themeColor="text1"/>
          <w:sz w:val="30"/>
        </w:rPr>
        <w:t>本报告依据中国资产评估准则编制</w:t>
      </w:r>
    </w:p>
    <w:p>
      <w:pPr>
        <w:widowControl/>
        <w:autoSpaceDE w:val="0"/>
        <w:autoSpaceDN w:val="0"/>
        <w:spacing w:line="600" w:lineRule="atLeast"/>
        <w:textAlignment w:val="bottom"/>
        <w:rPr>
          <w:b/>
          <w:color w:val="000000" w:themeColor="text1"/>
          <w:sz w:val="30"/>
        </w:rPr>
      </w:pPr>
    </w:p>
    <w:p>
      <w:pPr>
        <w:rPr>
          <w:color w:val="000000" w:themeColor="text1"/>
          <w:sz w:val="30"/>
        </w:rPr>
      </w:pPr>
    </w:p>
    <w:p>
      <w:pPr>
        <w:rPr>
          <w:color w:val="000000" w:themeColor="text1"/>
          <w:sz w:val="30"/>
        </w:rPr>
      </w:pPr>
    </w:p>
    <w:p>
      <w:pPr>
        <w:rPr>
          <w:color w:val="000000" w:themeColor="text1"/>
          <w:sz w:val="30"/>
        </w:rPr>
      </w:pPr>
      <w:r>
        <w:rPr>
          <w:color w:val="000000" w:themeColor="text1"/>
        </w:rPr>
        <w:pict>
          <v:shape id="Text Box 11" o:spid="_x0000_s1028" o:spt="202" type="#_x0000_t202" style="position:absolute;left:0pt;margin-left:57.65pt;margin-top:0.5pt;height:201.5pt;width:352.8pt;z-index:251660288;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">
            <v:path/>
            <v:fill on="f" focussize="0,0"/>
            <v:stroke weight="1.5pt" color="#FFFFFF" joinstyle="miter"/>
            <v:imagedata o:title=""/>
            <o:lock v:ext="edit" aspectratio="t"/>
            <v:textbox inset="2.54mm,2.3mm,2.54mm,1.27mm">
              <w:txbxContent>
                <w:p>
                  <w:pPr>
                    <w:pStyle w:val="29"/>
                    <w:spacing w:line="500" w:lineRule="exact"/>
                    <w:jc w:val="center"/>
                    <w:rPr>
                      <w:rFonts w:hint="default"/>
                      <w:b/>
                      <w:color w:val="000000" w:themeColor="text1"/>
                      <w:sz w:val="36"/>
                      <w:szCs w:val="36"/>
                    </w:rPr>
                  </w:pPr>
                  <w:r>
                    <w:rPr>
                      <w:b/>
                      <w:color w:val="000000" w:themeColor="text1"/>
                      <w:sz w:val="36"/>
                      <w:szCs w:val="36"/>
                    </w:rPr>
                    <w:t>天水长城低压电器有限公司拟股权变更涉及其股东全部权益价值</w:t>
                  </w:r>
                </w:p>
                <w:p>
                  <w:pPr>
                    <w:pStyle w:val="29"/>
                    <w:spacing w:line="500" w:lineRule="exact"/>
                    <w:jc w:val="center"/>
                    <w:rPr>
                      <w:rFonts w:hint="default"/>
                      <w:sz w:val="36"/>
                      <w:szCs w:val="36"/>
                    </w:rPr>
                  </w:pPr>
                  <w:r>
                    <w:rPr>
                      <w:b/>
                      <w:color w:val="000000" w:themeColor="text1"/>
                      <w:sz w:val="36"/>
                      <w:szCs w:val="36"/>
                    </w:rPr>
                    <w:t>评估项目</w:t>
                  </w:r>
                </w:p>
                <w:p>
                  <w:pPr>
                    <w:pStyle w:val="29"/>
                    <w:spacing w:before="0" w:beforeAutospacing="0" w:after="0" w:afterAutospacing="0"/>
                    <w:jc w:val="center"/>
                    <w:rPr>
                      <w:rFonts w:hint="default"/>
                      <w:sz w:val="44"/>
                      <w:szCs w:val="44"/>
                    </w:rPr>
                  </w:pPr>
                  <w:r>
                    <w:rPr>
                      <w:rFonts w:cs="Times New Roman"/>
                      <w:b/>
                      <w:bCs/>
                      <w:color w:val="000000"/>
                      <w:sz w:val="44"/>
                      <w:szCs w:val="44"/>
                    </w:rPr>
                    <w:t>资产评估报告</w:t>
                  </w:r>
                </w:p>
                <w:p>
                  <w:pPr>
                    <w:pStyle w:val="29"/>
                    <w:spacing w:before="0" w:beforeAutospacing="0" w:after="0" w:afterAutospacing="0" w:line="280" w:lineRule="exact"/>
                    <w:jc w:val="center"/>
                    <w:rPr>
                      <w:rFonts w:hint="default"/>
                    </w:rPr>
                  </w:pPr>
                  <w:r>
                    <w:rPr>
                      <w:rFonts w:cs="Times New Roman"/>
                      <w:b/>
                    </w:rPr>
                    <w:t>甘百诚评报字[2022]0</w:t>
                  </w:r>
                  <w:r>
                    <w:rPr>
                      <w:rFonts w:hint="eastAsia" w:cs="Times New Roman"/>
                      <w:b/>
                      <w:lang w:val="en-US" w:eastAsia="zh-CN"/>
                    </w:rPr>
                    <w:t>91</w:t>
                  </w:r>
                  <w:r>
                    <w:rPr>
                      <w:rFonts w:cs="Times New Roman"/>
                      <w:b/>
                    </w:rPr>
                    <w:t>号</w:t>
                  </w:r>
                </w:p>
                <w:p>
                  <w:pPr>
                    <w:pStyle w:val="29"/>
                    <w:spacing w:before="0" w:beforeAutospacing="0" w:after="0" w:afterAutospacing="0" w:line="280" w:lineRule="exact"/>
                    <w:jc w:val="center"/>
                    <w:rPr>
                      <w:rFonts w:hint="default"/>
                    </w:rPr>
                  </w:pPr>
                  <w:r>
                    <w:rPr>
                      <w:rFonts w:cs="Times New Roman"/>
                    </w:rPr>
                    <w:t>（共一册，第一册）</w:t>
                  </w:r>
                </w:p>
              </w:txbxContent>
            </v:textbox>
          </v:shape>
        </w:pict>
      </w: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rPr>
          <w:color w:val="000000" w:themeColor="text1"/>
          <w:sz w:val="30"/>
        </w:rPr>
      </w:pPr>
    </w:p>
    <w:p>
      <w:pPr>
        <w:tabs>
          <w:tab w:val="left" w:pos="3180"/>
        </w:tabs>
        <w:rPr>
          <w:color w:val="000000" w:themeColor="text1"/>
          <w:sz w:val="30"/>
        </w:rPr>
      </w:pPr>
      <w:r>
        <w:rPr>
          <w:color w:val="000000" w:themeColor="text1"/>
          <w:sz w:val="30"/>
        </w:rPr>
        <w:tab/>
      </w: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tabs>
          <w:tab w:val="left" w:pos="3180"/>
        </w:tabs>
        <w:rPr>
          <w:color w:val="000000" w:themeColor="text1"/>
          <w:sz w:val="30"/>
        </w:rPr>
      </w:pPr>
    </w:p>
    <w:p>
      <w:pPr>
        <w:spacing w:line="36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资产评估机构：</w:t>
      </w:r>
      <w:r>
        <w:rPr>
          <w:rFonts w:asciiTheme="minorEastAsia" w:hAnsiTheme="minorEastAsia" w:eastAsiaTheme="minorEastAsia"/>
          <w:color w:val="000000" w:themeColor="text1"/>
          <w:sz w:val="28"/>
          <w:szCs w:val="28"/>
        </w:rPr>
        <w:t>甘肃</w:t>
      </w:r>
      <w:r>
        <w:rPr>
          <w:rFonts w:hint="eastAsia" w:asciiTheme="minorEastAsia" w:hAnsiTheme="minorEastAsia" w:eastAsiaTheme="minorEastAsia"/>
          <w:color w:val="000000" w:themeColor="text1"/>
          <w:sz w:val="28"/>
          <w:szCs w:val="28"/>
        </w:rPr>
        <w:t>百诚</w:t>
      </w:r>
      <w:r>
        <w:rPr>
          <w:rFonts w:asciiTheme="minorEastAsia" w:hAnsiTheme="minorEastAsia" w:eastAsiaTheme="minorEastAsia"/>
          <w:color w:val="000000" w:themeColor="text1"/>
          <w:sz w:val="28"/>
          <w:szCs w:val="28"/>
        </w:rPr>
        <w:t>资产评估事务所</w:t>
      </w:r>
    </w:p>
    <w:p>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提交报告日期：二〇二二年十月二十日</w:t>
      </w:r>
    </w:p>
    <w:p>
      <w:pPr>
        <w:tabs>
          <w:tab w:val="left" w:pos="3180"/>
        </w:tabs>
        <w:rPr>
          <w:color w:val="000000" w:themeColor="text1"/>
          <w:sz w:val="30"/>
        </w:rPr>
      </w:pPr>
    </w:p>
    <w:p>
      <w:pPr>
        <w:jc w:val="center"/>
        <w:rPr>
          <w:color w:val="000000" w:themeColor="text1"/>
          <w:sz w:val="44"/>
          <w:szCs w:val="44"/>
        </w:rPr>
        <w:sectPr>
          <w:headerReference r:id="rId3" w:type="default"/>
          <w:footerReference r:id="rId4" w:type="even"/>
          <w:pgSz w:w="11906" w:h="16838"/>
          <w:pgMar w:top="1440" w:right="1797" w:bottom="1440" w:left="1797" w:header="851" w:footer="851" w:gutter="0"/>
          <w:cols w:space="425" w:num="1"/>
        </w:sectPr>
      </w:pPr>
      <w:r>
        <w:rPr>
          <w:color w:val="000000" w:themeColor="text1"/>
        </w:rPr>
        <w:pict>
          <v:shape id="文本框 2" o:spid="_x0000_s1027" o:spt="202" type="#_x0000_t202" style="position:absolute;left:0pt;margin-left:-94.05pt;margin-top:51.95pt;height:100.2pt;width:597.7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">
            <v:path/>
            <v:fill on="f" focussize="0,0"/>
            <v:stroke weight="1pt" color="#FFFFFF" joinstyle="miter"/>
            <v:imagedata o:title=""/>
            <o:lock v:ext="edit"/>
            <v:textbox>
              <w:txbxContent>
                <w:p/>
                <w:p/>
                <w:p/>
              </w:txbxContent>
            </v:textbox>
          </v:shape>
        </w:pict>
      </w:r>
      <w:r>
        <w:rPr>
          <w:b/>
          <w:color w:val="000000" w:themeColor="text1"/>
          <w:sz w:val="44"/>
          <w:szCs w:val="44"/>
        </w:rPr>
        <w:t>GansuBaicheng</w:t>
      </w:r>
      <w:r>
        <w:rPr>
          <w:rFonts w:hint="eastAsia"/>
          <w:b/>
          <w:color w:val="000000" w:themeColor="text1"/>
          <w:sz w:val="44"/>
          <w:szCs w:val="44"/>
        </w:rPr>
        <w:t>A</w:t>
      </w:r>
      <w:r>
        <w:rPr>
          <w:b/>
          <w:color w:val="000000" w:themeColor="text1"/>
          <w:sz w:val="44"/>
          <w:szCs w:val="44"/>
        </w:rPr>
        <w:t>sset</w:t>
      </w:r>
      <w:r>
        <w:rPr>
          <w:rFonts w:hint="eastAsia"/>
          <w:b/>
          <w:color w:val="000000" w:themeColor="text1"/>
          <w:sz w:val="44"/>
          <w:szCs w:val="44"/>
        </w:rPr>
        <w:t>sA</w:t>
      </w:r>
      <w:r>
        <w:rPr>
          <w:b/>
          <w:color w:val="000000" w:themeColor="text1"/>
          <w:sz w:val="44"/>
          <w:szCs w:val="44"/>
        </w:rPr>
        <w:t>ppraisal</w:t>
      </w:r>
      <w:r>
        <w:rPr>
          <w:rFonts w:hint="eastAsia"/>
          <w:b/>
          <w:color w:val="000000" w:themeColor="text1"/>
          <w:sz w:val="44"/>
          <w:szCs w:val="44"/>
        </w:rPr>
        <w:t>O</w:t>
      </w:r>
      <w:r>
        <w:rPr>
          <w:b/>
          <w:color w:val="000000" w:themeColor="text1"/>
          <w:sz w:val="44"/>
          <w:szCs w:val="44"/>
        </w:rPr>
        <w:t>ffice</w:t>
      </w:r>
    </w:p>
    <w:p>
      <w:pPr>
        <w:widowControl/>
        <w:autoSpaceDE w:val="0"/>
        <w:autoSpaceDN w:val="0"/>
        <w:spacing w:line="600" w:lineRule="atLeast"/>
        <w:jc w:val="center"/>
        <w:textAlignment w:val="bottom"/>
        <w:rPr>
          <w:b/>
          <w:color w:val="000000" w:themeColor="text1"/>
          <w:sz w:val="36"/>
          <w:szCs w:val="36"/>
        </w:rPr>
      </w:pPr>
      <w:r>
        <w:rPr>
          <w:b/>
          <w:color w:val="000000" w:themeColor="text1"/>
          <w:sz w:val="36"/>
          <w:szCs w:val="36"/>
        </w:rPr>
        <w:t>目录</w:t>
      </w:r>
    </w:p>
    <w:p>
      <w:pPr>
        <w:pStyle w:val="27"/>
        <w:tabs>
          <w:tab w:val="right" w:leader="dot" w:pos="8494"/>
        </w:tabs>
        <w:rPr>
          <w:rFonts w:eastAsiaTheme="minorEastAsia" w:cstheme="minorBidi"/>
          <w:smallCaps w:val="0"/>
          <w:sz w:val="21"/>
          <w:szCs w:val="22"/>
        </w:rPr>
      </w:pPr>
      <w:r>
        <w:rPr>
          <w:rStyle w:val="35"/>
          <w:rFonts w:ascii="宋体" w:hAnsi="宋体"/>
          <w:b/>
          <w:smallCaps w:val="0"/>
          <w:color w:val="000000" w:themeColor="text1"/>
          <w:szCs w:val="24"/>
        </w:rPr>
        <w:fldChar w:fldCharType="begin"/>
      </w:r>
      <w:r>
        <w:rPr>
          <w:rStyle w:val="35"/>
          <w:rFonts w:ascii="宋体" w:hAnsi="宋体"/>
          <w:b/>
          <w:smallCaps w:val="0"/>
          <w:color w:val="000000" w:themeColor="text1"/>
          <w:szCs w:val="24"/>
        </w:rPr>
        <w:instrText xml:space="preserve"> TOC \o "1-3" \h \z \u </w:instrText>
      </w:r>
      <w:r>
        <w:rPr>
          <w:rStyle w:val="35"/>
          <w:rFonts w:ascii="宋体" w:hAnsi="宋体"/>
          <w:b/>
          <w:smallCaps w:val="0"/>
          <w:color w:val="000000" w:themeColor="text1"/>
          <w:szCs w:val="24"/>
        </w:rPr>
        <w:fldChar w:fldCharType="separate"/>
      </w:r>
      <w:r>
        <w:fldChar w:fldCharType="begin"/>
      </w:r>
      <w:r>
        <w:instrText xml:space="preserve"> HYPERLINK \l "_Toc92353666" </w:instrText>
      </w:r>
      <w:r>
        <w:fldChar w:fldCharType="separate"/>
      </w:r>
      <w:r>
        <w:rPr>
          <w:rStyle w:val="35"/>
          <w:rFonts w:hint="eastAsia" w:ascii="Times New Roman" w:hAnsi="Times New Roman"/>
          <w:kern w:val="44"/>
        </w:rPr>
        <w:t>声明</w:t>
      </w:r>
      <w:r>
        <w:tab/>
      </w:r>
      <w:r>
        <w:fldChar w:fldCharType="begin"/>
      </w:r>
      <w:r>
        <w:instrText xml:space="preserve"> PAGEREF _Toc92353666 \h </w:instrText>
      </w:r>
      <w:r>
        <w:fldChar w:fldCharType="separate"/>
      </w:r>
      <w:r>
        <w:t>1</w:t>
      </w:r>
      <w:r>
        <w:fldChar w:fldCharType="end"/>
      </w:r>
      <w:r>
        <w:fldChar w:fldCharType="end"/>
      </w:r>
    </w:p>
    <w:p>
      <w:pPr>
        <w:pStyle w:val="27"/>
        <w:tabs>
          <w:tab w:val="right" w:leader="dot" w:pos="8494"/>
        </w:tabs>
        <w:rPr>
          <w:rFonts w:eastAsiaTheme="minorEastAsia" w:cstheme="minorBidi"/>
          <w:smallCaps w:val="0"/>
          <w:sz w:val="21"/>
          <w:szCs w:val="22"/>
        </w:rPr>
      </w:pPr>
      <w:r>
        <w:fldChar w:fldCharType="begin"/>
      </w:r>
      <w:r>
        <w:instrText xml:space="preserve"> HYPERLINK \l "_Toc92353667" </w:instrText>
      </w:r>
      <w:r>
        <w:fldChar w:fldCharType="separate"/>
      </w:r>
      <w:r>
        <w:rPr>
          <w:rStyle w:val="35"/>
          <w:rFonts w:hint="eastAsia" w:ascii="Times New Roman" w:hAnsi="Times New Roman"/>
          <w:kern w:val="44"/>
        </w:rPr>
        <w:t>评估报告正文</w:t>
      </w:r>
      <w:r>
        <w:tab/>
      </w:r>
      <w:r>
        <w:fldChar w:fldCharType="begin"/>
      </w:r>
      <w:r>
        <w:instrText xml:space="preserve"> PAGEREF _Toc92353667 \h </w:instrText>
      </w:r>
      <w:r>
        <w:fldChar w:fldCharType="separate"/>
      </w:r>
      <w:r>
        <w:t>3</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"_Toc92353668" </w:instrText>
      </w:r>
      <w:r>
        <w:fldChar w:fldCharType="separate"/>
      </w:r>
      <w:r>
        <w:rPr>
          <w:rStyle w:val="35"/>
          <w:rFonts w:hint="eastAsia"/>
        </w:rPr>
        <w:t>一、委托人、产权持有人和其他评估报告使用人概况</w:t>
      </w:r>
      <w:r>
        <w:tab/>
      </w:r>
      <w:r>
        <w:fldChar w:fldCharType="begin"/>
      </w:r>
      <w:r>
        <w:instrText xml:space="preserve"> PAGEREF _Toc92353668 \h </w:instrText>
      </w:r>
      <w:r>
        <w:fldChar w:fldCharType="separate"/>
      </w:r>
      <w:r>
        <w:t>3</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"_Toc92353669" </w:instrText>
      </w:r>
      <w:r>
        <w:fldChar w:fldCharType="separate"/>
      </w:r>
      <w:r>
        <w:rPr>
          <w:rStyle w:val="35"/>
          <w:rFonts w:hint="eastAsia"/>
        </w:rPr>
        <w:t>二、评估目的</w:t>
      </w:r>
      <w:r>
        <w:tab/>
      </w:r>
      <w:r>
        <w:fldChar w:fldCharType="begin"/>
      </w:r>
      <w:r>
        <w:instrText xml:space="preserve"> PAGEREF _Toc92353669 \h </w:instrText>
      </w:r>
      <w:r>
        <w:fldChar w:fldCharType="separate"/>
      </w:r>
      <w:r>
        <w:t>4</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"_Toc92353670" </w:instrText>
      </w:r>
      <w:r>
        <w:fldChar w:fldCharType="separate"/>
      </w:r>
      <w:r>
        <w:rPr>
          <w:rStyle w:val="35"/>
          <w:rFonts w:hint="eastAsia"/>
        </w:rPr>
        <w:t>三、评估对象和评估范围</w:t>
      </w:r>
      <w:r>
        <w:tab/>
      </w:r>
      <w:r>
        <w:fldChar w:fldCharType="begin"/>
      </w:r>
      <w:r>
        <w:instrText xml:space="preserve"> PAGEREF _Toc92353670 \h </w:instrText>
      </w:r>
      <w:r>
        <w:fldChar w:fldCharType="separate"/>
      </w:r>
      <w:r>
        <w:t>4</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"_Toc92353671" </w:instrText>
      </w:r>
      <w:r>
        <w:fldChar w:fldCharType="separate"/>
      </w:r>
      <w:r>
        <w:rPr>
          <w:rStyle w:val="35"/>
          <w:rFonts w:hint="eastAsia"/>
          <w:kern w:val="0"/>
        </w:rPr>
        <w:t>四、价值类型及其定义</w:t>
      </w:r>
      <w:r>
        <w:tab/>
      </w:r>
      <w:r>
        <w:fldChar w:fldCharType="begin"/>
      </w:r>
      <w:r>
        <w:instrText xml:space="preserve"> PAGEREF _Toc92353671 \h </w:instrText>
      </w:r>
      <w:r>
        <w:fldChar w:fldCharType="separate"/>
      </w:r>
      <w:r>
        <w:t>5</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"_Toc92353672" </w:instrText>
      </w:r>
      <w:r>
        <w:fldChar w:fldCharType="separate"/>
      </w:r>
      <w:r>
        <w:rPr>
          <w:rStyle w:val="35"/>
          <w:rFonts w:hint="eastAsia"/>
        </w:rPr>
        <w:t>五、评估基准日</w:t>
      </w:r>
      <w:r>
        <w:tab/>
      </w:r>
      <w:r>
        <w:fldChar w:fldCharType="begin"/>
      </w:r>
      <w:r>
        <w:instrText xml:space="preserve"> PAGEREF _Toc92353672 \h </w:instrText>
      </w:r>
      <w:r>
        <w:fldChar w:fldCharType="separate"/>
      </w:r>
      <w:r>
        <w:t>5</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"_Toc92353673" </w:instrText>
      </w:r>
      <w:r>
        <w:fldChar w:fldCharType="separate"/>
      </w:r>
      <w:r>
        <w:rPr>
          <w:rStyle w:val="35"/>
          <w:rFonts w:hint="eastAsia"/>
        </w:rPr>
        <w:t>六、评估依据</w:t>
      </w:r>
      <w:r>
        <w:tab/>
      </w:r>
      <w:r>
        <w:fldChar w:fldCharType="begin"/>
      </w:r>
      <w:r>
        <w:instrText xml:space="preserve"> PAGEREF _Toc92353673 \h </w:instrText>
      </w:r>
      <w:r>
        <w:fldChar w:fldCharType="separate"/>
      </w:r>
      <w:r>
        <w:t>6</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"_Toc92353674" </w:instrText>
      </w:r>
      <w:r>
        <w:fldChar w:fldCharType="separate"/>
      </w:r>
      <w:r>
        <w:rPr>
          <w:rStyle w:val="35"/>
          <w:rFonts w:hint="eastAsia"/>
        </w:rPr>
        <w:t>七、评估方法</w:t>
      </w:r>
      <w:r>
        <w:tab/>
      </w:r>
      <w:r>
        <w:fldChar w:fldCharType="begin"/>
      </w:r>
      <w:r>
        <w:instrText xml:space="preserve"> PAGEREF _Toc92353674 \h </w:instrText>
      </w:r>
      <w:r>
        <w:fldChar w:fldCharType="separate"/>
      </w:r>
      <w:r>
        <w:t>8</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"_Toc92353675" </w:instrText>
      </w:r>
      <w:r>
        <w:fldChar w:fldCharType="separate"/>
      </w:r>
      <w:r>
        <w:rPr>
          <w:rStyle w:val="35"/>
          <w:rFonts w:hint="eastAsia"/>
        </w:rPr>
        <w:t>八、评估程序实施过程和情况</w:t>
      </w:r>
      <w:r>
        <w:tab/>
      </w:r>
      <w:r>
        <w:fldChar w:fldCharType="begin"/>
      </w:r>
      <w:r>
        <w:instrText xml:space="preserve"> PAGEREF _Toc92353675 \h </w:instrText>
      </w:r>
      <w:r>
        <w:fldChar w:fldCharType="separate"/>
      </w:r>
      <w:r>
        <w:t>10</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"_Toc92353676" </w:instrText>
      </w:r>
      <w:r>
        <w:fldChar w:fldCharType="separate"/>
      </w:r>
      <w:r>
        <w:rPr>
          <w:rStyle w:val="35"/>
          <w:rFonts w:hint="eastAsia"/>
        </w:rPr>
        <w:t>九、评估假设</w:t>
      </w:r>
      <w:r>
        <w:tab/>
      </w:r>
      <w:r>
        <w:fldChar w:fldCharType="begin"/>
      </w:r>
      <w:r>
        <w:instrText xml:space="preserve"> PAGEREF _Toc92353676 \h </w:instrText>
      </w:r>
      <w:r>
        <w:fldChar w:fldCharType="separate"/>
      </w:r>
      <w:r>
        <w:t>11</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"_Toc92353677" </w:instrText>
      </w:r>
      <w:r>
        <w:fldChar w:fldCharType="separate"/>
      </w:r>
      <w:r>
        <w:rPr>
          <w:rStyle w:val="35"/>
          <w:rFonts w:hint="eastAsia"/>
        </w:rPr>
        <w:t>十、评估结论</w:t>
      </w:r>
      <w:r>
        <w:tab/>
      </w:r>
      <w:r>
        <w:fldChar w:fldCharType="begin"/>
      </w:r>
      <w:r>
        <w:instrText xml:space="preserve"> PAGEREF _Toc92353677 \h </w:instrText>
      </w:r>
      <w:r>
        <w:fldChar w:fldCharType="separate"/>
      </w:r>
      <w:r>
        <w:t>12</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"_Toc92353678" </w:instrText>
      </w:r>
      <w:r>
        <w:fldChar w:fldCharType="separate"/>
      </w:r>
      <w:r>
        <w:rPr>
          <w:rStyle w:val="35"/>
          <w:rFonts w:hint="eastAsia"/>
        </w:rPr>
        <w:t>十一、特别事项说明</w:t>
      </w:r>
      <w:r>
        <w:tab/>
      </w:r>
      <w:r>
        <w:fldChar w:fldCharType="begin"/>
      </w:r>
      <w:r>
        <w:instrText xml:space="preserve"> PAGEREF _Toc92353678 \h </w:instrText>
      </w:r>
      <w:r>
        <w:fldChar w:fldCharType="separate"/>
      </w:r>
      <w:r>
        <w:t>13</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"_Toc92353679" </w:instrText>
      </w:r>
      <w:r>
        <w:fldChar w:fldCharType="separate"/>
      </w:r>
      <w:r>
        <w:rPr>
          <w:rStyle w:val="35"/>
          <w:rFonts w:hint="eastAsia"/>
        </w:rPr>
        <w:t>十二、资产评估报告的使用限制说明</w:t>
      </w:r>
      <w:r>
        <w:tab/>
      </w:r>
      <w:r>
        <w:fldChar w:fldCharType="begin"/>
      </w:r>
      <w:r>
        <w:instrText xml:space="preserve"> PAGEREF _Toc92353679 \h </w:instrText>
      </w:r>
      <w:r>
        <w:fldChar w:fldCharType="separate"/>
      </w:r>
      <w:r>
        <w:t>13</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"_Toc92353680" </w:instrText>
      </w:r>
      <w:r>
        <w:fldChar w:fldCharType="separate"/>
      </w:r>
      <w:r>
        <w:rPr>
          <w:rStyle w:val="35"/>
          <w:rFonts w:hint="eastAsia"/>
        </w:rPr>
        <w:t>十三、资产评估报告日</w:t>
      </w:r>
      <w:r>
        <w:tab/>
      </w:r>
      <w:r>
        <w:fldChar w:fldCharType="begin"/>
      </w:r>
      <w:r>
        <w:instrText xml:space="preserve"> PAGEREF _Toc92353680 \h </w:instrText>
      </w:r>
      <w:r>
        <w:fldChar w:fldCharType="separate"/>
      </w:r>
      <w:r>
        <w:t>14</w:t>
      </w:r>
      <w:r>
        <w:fldChar w:fldCharType="end"/>
      </w:r>
      <w:r>
        <w:fldChar w:fldCharType="end"/>
      </w:r>
    </w:p>
    <w:p>
      <w:pPr>
        <w:pStyle w:val="14"/>
        <w:tabs>
          <w:tab w:val="right" w:leader="dot" w:pos="8494"/>
        </w:tabs>
        <w:ind w:left="480"/>
        <w:rPr>
          <w:rFonts w:eastAsiaTheme="minorEastAsia" w:cstheme="minorBidi"/>
          <w:iCs w:val="0"/>
          <w:sz w:val="21"/>
          <w:szCs w:val="22"/>
        </w:rPr>
      </w:pPr>
      <w:r>
        <w:fldChar w:fldCharType="begin"/>
      </w:r>
      <w:r>
        <w:instrText xml:space="preserve"> HYPERLINK \l "_Toc92353681" </w:instrText>
      </w:r>
      <w:r>
        <w:fldChar w:fldCharType="separate"/>
      </w:r>
      <w:r>
        <w:rPr>
          <w:rStyle w:val="35"/>
          <w:rFonts w:hint="eastAsia"/>
        </w:rPr>
        <w:t>十四、资产评估专业人员签名和资产评估机构印章</w:t>
      </w:r>
      <w:r>
        <w:tab/>
      </w:r>
      <w:r>
        <w:fldChar w:fldCharType="begin"/>
      </w:r>
      <w:r>
        <w:instrText xml:space="preserve"> PAGEREF _Toc92353681 \h </w:instrText>
      </w:r>
      <w:r>
        <w:fldChar w:fldCharType="separate"/>
      </w:r>
      <w:r>
        <w:t>14</w:t>
      </w:r>
      <w:r>
        <w:fldChar w:fldCharType="end"/>
      </w:r>
      <w:r>
        <w:fldChar w:fldCharType="end"/>
      </w:r>
    </w:p>
    <w:p>
      <w:pPr>
        <w:pStyle w:val="27"/>
        <w:tabs>
          <w:tab w:val="right" w:leader="dot" w:pos="8494"/>
        </w:tabs>
        <w:rPr>
          <w:rFonts w:eastAsiaTheme="minorEastAsia" w:cstheme="minorBidi"/>
          <w:smallCaps w:val="0"/>
          <w:sz w:val="21"/>
          <w:szCs w:val="22"/>
        </w:rPr>
      </w:pPr>
      <w:r>
        <w:fldChar w:fldCharType="begin"/>
      </w:r>
      <w:r>
        <w:instrText xml:space="preserve"> HYPERLINK \l "_Toc92353682" </w:instrText>
      </w:r>
      <w:r>
        <w:fldChar w:fldCharType="separate"/>
      </w:r>
      <w:r>
        <w:rPr>
          <w:rStyle w:val="35"/>
          <w:rFonts w:hint="eastAsia" w:ascii="Times New Roman" w:hAnsi="Times New Roman"/>
          <w:kern w:val="44"/>
        </w:rPr>
        <w:t>评估</w:t>
      </w:r>
      <w:r>
        <w:rPr>
          <w:rStyle w:val="35"/>
          <w:rFonts w:hint="eastAsia"/>
          <w:kern w:val="44"/>
        </w:rPr>
        <w:t>报告附件</w:t>
      </w:r>
      <w:r>
        <w:tab/>
      </w:r>
      <w:r>
        <w:fldChar w:fldCharType="begin"/>
      </w:r>
      <w:r>
        <w:instrText xml:space="preserve"> PAGEREF _Toc92353682 \h </w:instrText>
      </w:r>
      <w:r>
        <w:fldChar w:fldCharType="separate"/>
      </w:r>
      <w:r>
        <w:t>15</w:t>
      </w:r>
      <w:r>
        <w:fldChar w:fldCharType="end"/>
      </w:r>
      <w:r>
        <w:fldChar w:fldCharType="end"/>
      </w:r>
    </w:p>
    <w:p>
      <w:pPr>
        <w:snapToGrid w:val="0"/>
        <w:spacing w:line="360" w:lineRule="auto"/>
        <w:ind w:firstLine="482" w:firstLineChars="200"/>
        <w:rPr>
          <w:rStyle w:val="35"/>
          <w:b/>
          <w:smallCaps/>
          <w:color w:val="000000" w:themeColor="text1"/>
          <w:szCs w:val="24"/>
        </w:rPr>
      </w:pPr>
      <w:r>
        <w:rPr>
          <w:rStyle w:val="35"/>
          <w:rFonts w:ascii="宋体" w:hAnsi="宋体" w:cstheme="minorHAnsi"/>
          <w:b/>
          <w:smallCaps/>
          <w:color w:val="000000" w:themeColor="text1"/>
          <w:szCs w:val="24"/>
        </w:rPr>
        <w:fldChar w:fldCharType="end"/>
      </w:r>
    </w:p>
    <w:p>
      <w:pPr>
        <w:snapToGrid w:val="0"/>
        <w:spacing w:line="360" w:lineRule="auto"/>
        <w:ind w:firstLine="480" w:firstLineChars="200"/>
        <w:rPr>
          <w:color w:val="000000" w:themeColor="text1"/>
        </w:rPr>
      </w:pPr>
    </w:p>
    <w:p>
      <w:pPr>
        <w:tabs>
          <w:tab w:val="left" w:pos="2038"/>
        </w:tabs>
        <w:rPr>
          <w:color w:val="000000" w:themeColor="text1"/>
        </w:rPr>
        <w:sectPr>
          <w:headerReference r:id="rId5" w:type="default"/>
          <w:footerReference r:id="rId6" w:type="default"/>
          <w:pgSz w:w="11906" w:h="16838"/>
          <w:pgMar w:top="1588" w:right="1701" w:bottom="1247" w:left="1701" w:header="1134" w:footer="907" w:gutter="0"/>
          <w:pgNumType w:start="0"/>
          <w:cols w:space="720" w:num="1"/>
          <w:docGrid w:type="lines" w:linePitch="450" w:charSpace="-4916"/>
        </w:sectPr>
      </w:pPr>
      <w:r>
        <w:rPr>
          <w:color w:val="000000" w:themeColor="text1"/>
        </w:rPr>
        <w:tab/>
      </w:r>
    </w:p>
    <w:p>
      <w:pPr>
        <w:pStyle w:val="3"/>
        <w:adjustRightInd/>
        <w:spacing w:before="0" w:after="0" w:line="420" w:lineRule="auto"/>
        <w:ind w:firstLine="0"/>
        <w:jc w:val="center"/>
        <w:textAlignment w:val="auto"/>
        <w:rPr>
          <w:rFonts w:ascii="Times New Roman" w:hAnsi="Times New Roman" w:eastAsia="宋体"/>
          <w:b w:val="0"/>
          <w:color w:val="000000" w:themeColor="text1"/>
          <w:sz w:val="28"/>
          <w:szCs w:val="28"/>
        </w:rPr>
      </w:pPr>
      <w:bookmarkStart w:id="0" w:name="_Toc92353666"/>
      <w:bookmarkStart w:id="1" w:name="_Toc24640717"/>
      <w:r>
        <w:rPr>
          <w:rStyle w:val="51"/>
          <w:rFonts w:ascii="Times New Roman" w:hAnsi="Times New Roman" w:eastAsia="宋体"/>
          <w:b/>
          <w:color w:val="000000" w:themeColor="text1"/>
          <w:sz w:val="28"/>
          <w:szCs w:val="28"/>
        </w:rPr>
        <w:t>声明</w:t>
      </w:r>
      <w:bookmarkEnd w:id="0"/>
      <w:bookmarkEnd w:id="1"/>
    </w:p>
    <w:p>
      <w:pPr>
        <w:widowControl/>
        <w:spacing w:line="440" w:lineRule="exact"/>
        <w:ind w:firstLine="480" w:firstLineChars="200"/>
        <w:rPr>
          <w:rFonts w:ascii="宋体" w:hAnsi="宋体" w:cs="宋体"/>
          <w:color w:val="000000" w:themeColor="text1"/>
          <w:kern w:val="0"/>
        </w:rPr>
      </w:pPr>
      <w:r>
        <w:rPr>
          <w:rFonts w:hint="eastAsia" w:ascii="宋体" w:hAnsi="宋体" w:cs="宋体"/>
          <w:color w:val="000000" w:themeColor="text1"/>
          <w:kern w:val="0"/>
        </w:rPr>
        <w:t>一、本资产评估报告依据财政部发布的资产评估基本准则和中国资产评估协会发布的资产评估执业准则和职业道德准则编制。</w:t>
      </w:r>
    </w:p>
    <w:p>
      <w:pPr>
        <w:widowControl/>
        <w:spacing w:line="440" w:lineRule="exact"/>
        <w:rPr>
          <w:rFonts w:ascii="宋体" w:hAnsi="宋体" w:cs="宋体"/>
          <w:color w:val="000000" w:themeColor="text1"/>
          <w:kern w:val="0"/>
        </w:rPr>
      </w:pPr>
      <w:r>
        <w:rPr>
          <w:rFonts w:hint="eastAsia" w:ascii="宋体" w:hAnsi="宋体" w:cs="宋体"/>
          <w:color w:val="000000" w:themeColor="text1"/>
          <w:kern w:val="0"/>
        </w:rPr>
        <w:t>　　二、委托人或者其他资产评估报告使用人应当按照法律、行政法规规定及本资产评估报告载明的使用范围使用资产评估报告；委托人或者其他资产评估报告使用人违反前述规定使用资产评估报告的，本资产评估机构及其资产评估专业人员不承担责任。</w:t>
      </w:r>
    </w:p>
    <w:p>
      <w:pPr>
        <w:widowControl/>
        <w:spacing w:line="440" w:lineRule="exact"/>
        <w:ind w:firstLine="480" w:firstLineChars="200"/>
        <w:rPr>
          <w:rFonts w:ascii="宋体" w:hAnsi="宋体" w:cs="宋体"/>
          <w:color w:val="000000" w:themeColor="text1"/>
          <w:kern w:val="0"/>
        </w:rPr>
      </w:pPr>
      <w:r>
        <w:rPr>
          <w:rFonts w:hint="eastAsia" w:ascii="宋体" w:hAnsi="宋体" w:cs="宋体"/>
          <w:color w:val="000000" w:themeColor="text1"/>
          <w:kern w:val="0"/>
        </w:rPr>
        <w:t>三、本资产评估报告仅供委托人、资产评估委托合同中约定的其他资产评估报告使用人和法律、行政法规规定的资产评估报告使用人使用；除此之外，其他任何机构和个人不能成为资产评估报告的使用人。</w:t>
      </w:r>
    </w:p>
    <w:p>
      <w:pPr>
        <w:widowControl/>
        <w:spacing w:line="440" w:lineRule="exact"/>
        <w:ind w:firstLine="480" w:firstLineChars="200"/>
        <w:rPr>
          <w:rFonts w:ascii="宋体" w:hAnsi="宋体" w:cs="宋体"/>
          <w:color w:val="000000" w:themeColor="text1"/>
          <w:kern w:val="0"/>
        </w:rPr>
      </w:pPr>
      <w:r>
        <w:rPr>
          <w:rFonts w:hint="eastAsia" w:ascii="宋体" w:hAnsi="宋体" w:cs="宋体"/>
          <w:color w:val="000000" w:themeColor="text1"/>
          <w:kern w:val="0"/>
        </w:rPr>
        <w:t>四、资产评估报告使用人应当正确理解评估结论，评估结论不等同于评估对象可实现价格，评估结论不应当被认为是对评估对象可实现价格的保证。</w:t>
      </w:r>
    </w:p>
    <w:p>
      <w:pPr>
        <w:widowControl/>
        <w:spacing w:line="440" w:lineRule="exact"/>
        <w:ind w:firstLine="480" w:firstLineChars="200"/>
        <w:rPr>
          <w:rFonts w:ascii="宋体" w:hAnsi="宋体" w:cs="宋体"/>
          <w:color w:val="000000" w:themeColor="text1"/>
          <w:kern w:val="0"/>
        </w:rPr>
      </w:pPr>
      <w:r>
        <w:rPr>
          <w:rFonts w:hint="eastAsia" w:ascii="宋体" w:hAnsi="宋体" w:cs="宋体"/>
          <w:color w:val="000000" w:themeColor="text1"/>
          <w:kern w:val="0"/>
        </w:rPr>
        <w:t>五、资产评估报告使用人应当关注评估结论成立的假设前提、资产评估报告特别事项说明和使用限制。</w:t>
      </w:r>
    </w:p>
    <w:p>
      <w:pPr>
        <w:widowControl/>
        <w:spacing w:line="440" w:lineRule="exact"/>
        <w:ind w:firstLine="480" w:firstLineChars="200"/>
        <w:rPr>
          <w:rFonts w:ascii="宋体" w:hAnsi="宋体" w:cs="宋体"/>
          <w:color w:val="000000" w:themeColor="text1"/>
          <w:kern w:val="0"/>
        </w:rPr>
      </w:pPr>
      <w:r>
        <w:rPr>
          <w:rFonts w:hint="eastAsia" w:ascii="宋体" w:hAnsi="宋体" w:cs="宋体"/>
          <w:color w:val="000000" w:themeColor="text1"/>
          <w:kern w:val="0"/>
        </w:rPr>
        <w:t>六、本资产评估机构及其资产评估专业人员遵守法律、行政法规和资产评估准则，坚持独立、客观和公正的原则，并对所出具的资产评估报告依法承担责任。</w:t>
      </w:r>
    </w:p>
    <w:p>
      <w:pPr>
        <w:widowControl/>
        <w:spacing w:line="440" w:lineRule="exact"/>
        <w:ind w:firstLine="480" w:firstLineChars="200"/>
        <w:rPr>
          <w:rFonts w:ascii="宋体" w:hAnsi="宋体" w:cs="宋体"/>
          <w:color w:val="000000" w:themeColor="text1"/>
          <w:kern w:val="0"/>
        </w:rPr>
      </w:pPr>
      <w:r>
        <w:rPr>
          <w:rFonts w:hint="eastAsia" w:hAnsi="宋体" w:cs="宋体"/>
          <w:color w:val="000000" w:themeColor="text1"/>
          <w:kern w:val="0"/>
        </w:rPr>
        <w:t>七、</w:t>
      </w:r>
      <w:r>
        <w:rPr>
          <w:rFonts w:hint="eastAsia" w:ascii="宋体" w:hAnsi="宋体" w:cs="宋体"/>
          <w:color w:val="000000" w:themeColor="text1"/>
          <w:kern w:val="0"/>
        </w:rPr>
        <w:t>评估对象涉及的资产清单由被评估单位申报并经其采用签名、盖章或法律允许的其他方式确认；委托人和其他相关当事人依法对其提供资料的真实性、完整性、合法性负责。</w:t>
      </w:r>
    </w:p>
    <w:p>
      <w:pPr>
        <w:widowControl/>
        <w:spacing w:line="440" w:lineRule="exact"/>
        <w:ind w:firstLine="480"/>
        <w:rPr>
          <w:rFonts w:ascii="宋体" w:hAnsi="宋体" w:cs="宋体"/>
          <w:color w:val="000000" w:themeColor="text1"/>
          <w:kern w:val="0"/>
        </w:rPr>
      </w:pPr>
      <w:r>
        <w:rPr>
          <w:rFonts w:hint="eastAsia" w:ascii="宋体" w:hAnsi="宋体" w:cs="宋体"/>
          <w:color w:val="000000" w:themeColor="text1"/>
          <w:kern w:val="0"/>
        </w:rPr>
        <w:t>八、本资产评估机构及资产评估专业人员与资产评估报告中的评估对象没有现存或者预期的利益关系；与相关当事人没有现存或者预期的利益关系，对相关当事人不存在偏见。　</w:t>
      </w:r>
    </w:p>
    <w:p>
      <w:pPr>
        <w:widowControl/>
        <w:spacing w:line="440" w:lineRule="exact"/>
        <w:ind w:firstLine="480"/>
        <w:rPr>
          <w:rFonts w:ascii="宋体" w:hAnsi="宋体" w:cs="宋体"/>
          <w:color w:val="000000" w:themeColor="text1"/>
          <w:kern w:val="0"/>
        </w:rPr>
      </w:pPr>
      <w:r>
        <w:rPr>
          <w:rFonts w:hint="eastAsia" w:ascii="宋体" w:hAnsi="宋体" w:cs="宋体"/>
          <w:color w:val="000000" w:themeColor="text1"/>
          <w:kern w:val="0"/>
        </w:rPr>
        <w:t>九、资产评估专业人员已经对资产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bookmarkStart w:id="68" w:name="_GoBack"/>
      <w:bookmarkEnd w:id="68"/>
    </w:p>
    <w:p>
      <w:pPr>
        <w:spacing w:line="440" w:lineRule="exact"/>
        <w:ind w:firstLine="482"/>
        <w:rPr>
          <w:rFonts w:ascii="宋体" w:hAnsi="宋体" w:cs="宋体"/>
          <w:color w:val="000000" w:themeColor="text1"/>
          <w:kern w:val="0"/>
        </w:rPr>
      </w:pPr>
      <w:r>
        <w:rPr>
          <w:rFonts w:hint="eastAsia" w:ascii="宋体" w:hAnsi="宋体" w:cs="宋体"/>
          <w:color w:val="000000" w:themeColor="text1"/>
          <w:kern w:val="0"/>
        </w:rPr>
        <w:t>十、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pPr>
        <w:widowControl/>
        <w:ind w:firstLine="480"/>
        <w:rPr>
          <w:rFonts w:ascii="宋体" w:hAnsi="宋体" w:cs="宋体"/>
          <w:color w:val="000000" w:themeColor="text1"/>
          <w:kern w:val="0"/>
        </w:rPr>
        <w:sectPr>
          <w:headerReference r:id="rId7" w:type="default"/>
          <w:footerReference r:id="rId8" w:type="default"/>
          <w:pgSz w:w="11906" w:h="16838"/>
          <w:pgMar w:top="1588" w:right="1701" w:bottom="1247" w:left="1701" w:header="1134" w:footer="907" w:gutter="0"/>
          <w:pgNumType w:start="1"/>
          <w:cols w:space="720" w:num="1"/>
          <w:docGrid w:type="lines" w:linePitch="450" w:charSpace="-4916"/>
        </w:sectPr>
      </w:pPr>
    </w:p>
    <w:p>
      <w:pPr>
        <w:pStyle w:val="15"/>
        <w:spacing w:line="360" w:lineRule="auto"/>
        <w:ind w:right="-1"/>
        <w:jc w:val="distribute"/>
        <w:rPr>
          <w:rFonts w:ascii="Times New Roman" w:hAnsi="Times New Roman"/>
          <w:b/>
          <w:color w:val="000000" w:themeColor="text1"/>
          <w:sz w:val="72"/>
          <w:szCs w:val="72"/>
        </w:rPr>
      </w:pPr>
      <w:bookmarkStart w:id="2" w:name="_Toc237230085"/>
      <w:bookmarkStart w:id="3" w:name="_Toc392771160"/>
      <w:r>
        <w:rPr>
          <w:rFonts w:ascii="Times New Roman" w:hAnsi="Times New Roman"/>
          <w:b/>
          <w:color w:val="000000" w:themeColor="text1"/>
          <w:sz w:val="72"/>
          <w:szCs w:val="72"/>
        </w:rPr>
        <w:t>甘肃百诚资产评估事务所</w:t>
      </w:r>
    </w:p>
    <w:p>
      <w:pPr>
        <w:pStyle w:val="15"/>
        <w:spacing w:line="500" w:lineRule="exact"/>
        <w:jc w:val="center"/>
        <w:rPr>
          <w:rFonts w:ascii="Times New Roman" w:hAnsi="Times New Roman"/>
          <w:color w:val="000000" w:themeColor="text1"/>
          <w:sz w:val="36"/>
        </w:rPr>
      </w:pPr>
      <w:r>
        <w:rPr>
          <w:rFonts w:ascii="Times New Roman" w:hAnsi="Times New Roman"/>
          <w:b/>
          <w:color w:val="000000" w:themeColor="text1"/>
          <w:sz w:val="52"/>
          <w:szCs w:val="52"/>
        </w:rPr>
        <w:t>GansuBaicheng</w:t>
      </w:r>
      <w:r>
        <w:rPr>
          <w:rFonts w:hint="eastAsia" w:ascii="Times New Roman" w:hAnsi="Times New Roman"/>
          <w:b/>
          <w:color w:val="000000" w:themeColor="text1"/>
          <w:sz w:val="52"/>
          <w:szCs w:val="52"/>
        </w:rPr>
        <w:t>A</w:t>
      </w:r>
      <w:r>
        <w:rPr>
          <w:rFonts w:ascii="Times New Roman" w:hAnsi="Times New Roman"/>
          <w:b/>
          <w:color w:val="000000" w:themeColor="text1"/>
          <w:sz w:val="52"/>
          <w:szCs w:val="52"/>
        </w:rPr>
        <w:t>sset</w:t>
      </w:r>
      <w:r>
        <w:rPr>
          <w:rFonts w:hint="eastAsia" w:ascii="Times New Roman" w:hAnsi="Times New Roman"/>
          <w:b/>
          <w:color w:val="000000" w:themeColor="text1"/>
          <w:sz w:val="52"/>
          <w:szCs w:val="52"/>
        </w:rPr>
        <w:t>sA</w:t>
      </w:r>
      <w:r>
        <w:rPr>
          <w:rFonts w:ascii="Times New Roman" w:hAnsi="Times New Roman"/>
          <w:b/>
          <w:color w:val="000000" w:themeColor="text1"/>
          <w:sz w:val="52"/>
          <w:szCs w:val="52"/>
        </w:rPr>
        <w:t>ppraisal</w:t>
      </w:r>
      <w:r>
        <w:rPr>
          <w:rFonts w:hint="eastAsia" w:ascii="Times New Roman" w:hAnsi="Times New Roman"/>
          <w:b/>
          <w:color w:val="000000" w:themeColor="text1"/>
          <w:sz w:val="52"/>
          <w:szCs w:val="52"/>
        </w:rPr>
        <w:t>O</w:t>
      </w:r>
      <w:r>
        <w:rPr>
          <w:rFonts w:ascii="Times New Roman" w:hAnsi="Times New Roman"/>
          <w:b/>
          <w:color w:val="000000" w:themeColor="text1"/>
          <w:sz w:val="52"/>
          <w:szCs w:val="52"/>
        </w:rPr>
        <w:t>ffice</w:t>
      </w:r>
      <w:r>
        <w:rPr>
          <w:rFonts w:ascii="Times New Roman" w:hAnsi="宋体"/>
          <w:color w:val="000000" w:themeColor="text1"/>
          <w:kern w:val="10"/>
          <w:sz w:val="36"/>
        </w:rPr>
        <w:t>━━━━━━━━━━━━━━━━━━━━━━━</w:t>
      </w:r>
    </w:p>
    <w:p>
      <w:pPr>
        <w:pStyle w:val="29"/>
        <w:spacing w:line="500" w:lineRule="exact"/>
        <w:jc w:val="center"/>
        <w:rPr>
          <w:rFonts w:hint="default"/>
          <w:b/>
          <w:color w:val="000000" w:themeColor="text1"/>
          <w:sz w:val="36"/>
          <w:szCs w:val="36"/>
        </w:rPr>
      </w:pPr>
      <w:r>
        <w:rPr>
          <w:b/>
          <w:color w:val="000000" w:themeColor="text1"/>
          <w:sz w:val="36"/>
          <w:szCs w:val="36"/>
        </w:rPr>
        <w:t>天水长城低压电器有限公司拟股权变更涉及其股东全部权益价值</w:t>
      </w:r>
      <w:bookmarkStart w:id="4" w:name="_Toc24640718"/>
      <w:r>
        <w:rPr>
          <w:b/>
          <w:color w:val="000000" w:themeColor="text1"/>
          <w:sz w:val="36"/>
          <w:szCs w:val="36"/>
        </w:rPr>
        <w:t>评估项目</w:t>
      </w:r>
    </w:p>
    <w:p>
      <w:pPr>
        <w:pStyle w:val="29"/>
        <w:spacing w:line="440" w:lineRule="exact"/>
        <w:jc w:val="center"/>
        <w:rPr>
          <w:rFonts w:hint="default"/>
          <w:b/>
          <w:color w:val="000000" w:themeColor="text1"/>
          <w:sz w:val="36"/>
          <w:szCs w:val="36"/>
        </w:rPr>
      </w:pPr>
      <w:r>
        <w:rPr>
          <w:b/>
          <w:color w:val="000000" w:themeColor="text1"/>
          <w:sz w:val="36"/>
          <w:szCs w:val="36"/>
        </w:rPr>
        <w:t>资产评估报告摘要</w:t>
      </w:r>
      <w:bookmarkEnd w:id="2"/>
      <w:bookmarkEnd w:id="3"/>
      <w:bookmarkEnd w:id="4"/>
    </w:p>
    <w:p>
      <w:pPr>
        <w:pStyle w:val="5"/>
        <w:ind w:firstLine="480" w:firstLineChars="200"/>
        <w:rPr>
          <w:color w:val="000000" w:themeColor="text1"/>
        </w:rPr>
      </w:pPr>
      <w:r>
        <w:rPr>
          <w:rFonts w:hint="eastAsia" w:hAnsi="宋体"/>
          <w:color w:val="000000" w:themeColor="text1"/>
          <w:szCs w:val="24"/>
        </w:rPr>
        <w:t>甘肃百诚资产评估事务所接受兰州长城电工股份有限公司委托，</w:t>
      </w:r>
      <w:r>
        <w:rPr>
          <w:rFonts w:hint="eastAsia" w:hAnsi="宋体" w:cs="宋体"/>
          <w:color w:val="000000" w:themeColor="text1"/>
        </w:rPr>
        <w:t>按照法律、行政法规和资产评估准则的规定，坚持独立、客观和公正的原则，</w:t>
      </w:r>
      <w:r>
        <w:rPr>
          <w:color w:val="000000" w:themeColor="text1"/>
        </w:rPr>
        <w:t>采用资产基础法</w:t>
      </w:r>
      <w:r>
        <w:rPr>
          <w:rFonts w:hint="eastAsia"/>
          <w:color w:val="000000" w:themeColor="text1"/>
        </w:rPr>
        <w:t>，</w:t>
      </w:r>
      <w:r>
        <w:rPr>
          <w:rFonts w:hint="eastAsia" w:hAnsi="宋体" w:cs="宋体"/>
          <w:color w:val="000000" w:themeColor="text1"/>
        </w:rPr>
        <w:t>按照必要的评估程序</w:t>
      </w:r>
      <w:r>
        <w:rPr>
          <w:color w:val="000000" w:themeColor="text1"/>
        </w:rPr>
        <w:t>，对</w:t>
      </w:r>
      <w:r>
        <w:rPr>
          <w:rFonts w:hint="eastAsia"/>
          <w:color w:val="000000" w:themeColor="text1"/>
        </w:rPr>
        <w:t>天水长城低压电器有限公司拟股权变更涉及其股东全部权益价值</w:t>
      </w:r>
      <w:r>
        <w:rPr>
          <w:color w:val="000000" w:themeColor="text1"/>
        </w:rPr>
        <w:t>在2022年9月30日的市场价值</w:t>
      </w:r>
      <w:r>
        <w:rPr>
          <w:rFonts w:hint="eastAsia"/>
          <w:color w:val="000000" w:themeColor="text1"/>
        </w:rPr>
        <w:t>进行了</w:t>
      </w:r>
      <w:r>
        <w:rPr>
          <w:color w:val="000000" w:themeColor="text1"/>
        </w:rPr>
        <w:t>评估</w:t>
      </w:r>
      <w:r>
        <w:rPr>
          <w:rFonts w:hint="eastAsia"/>
          <w:color w:val="000000" w:themeColor="text1"/>
        </w:rPr>
        <w:t>。</w:t>
      </w:r>
    </w:p>
    <w:p>
      <w:pPr>
        <w:pStyle w:val="5"/>
        <w:ind w:firstLine="480" w:firstLineChars="200"/>
        <w:rPr>
          <w:color w:val="000000" w:themeColor="text1"/>
        </w:rPr>
      </w:pPr>
      <w:r>
        <w:rPr>
          <w:color w:val="000000" w:themeColor="text1"/>
        </w:rPr>
        <w:t>一、评估目的：</w:t>
      </w:r>
      <w:r>
        <w:rPr>
          <w:rFonts w:hint="eastAsia"/>
          <w:color w:val="000000" w:themeColor="text1"/>
        </w:rPr>
        <w:t>天水长城低压电器有限公司拟股权变更涉及其股东全部权益价值</w:t>
      </w:r>
      <w:r>
        <w:rPr>
          <w:color w:val="000000" w:themeColor="text1"/>
        </w:rPr>
        <w:t>进行评估，为该经济行为提供价值参考意见。</w:t>
      </w:r>
    </w:p>
    <w:p>
      <w:pPr>
        <w:pStyle w:val="5"/>
        <w:ind w:firstLine="480" w:firstLineChars="200"/>
        <w:rPr>
          <w:color w:val="000000" w:themeColor="text1"/>
        </w:rPr>
      </w:pPr>
      <w:r>
        <w:rPr>
          <w:color w:val="000000" w:themeColor="text1"/>
        </w:rPr>
        <w:t>二、评估对象：</w:t>
      </w:r>
      <w:r>
        <w:rPr>
          <w:rFonts w:hint="eastAsia"/>
          <w:color w:val="000000" w:themeColor="text1"/>
        </w:rPr>
        <w:t>天水长城低压电器有限公司</w:t>
      </w:r>
      <w:r>
        <w:rPr>
          <w:color w:val="000000" w:themeColor="text1"/>
        </w:rPr>
        <w:t>于评估基准日的股东全部权益价值。</w:t>
      </w:r>
    </w:p>
    <w:p>
      <w:pPr>
        <w:pStyle w:val="5"/>
        <w:ind w:firstLine="480" w:firstLineChars="200"/>
        <w:rPr>
          <w:color w:val="000000" w:themeColor="text1"/>
        </w:rPr>
      </w:pPr>
      <w:r>
        <w:rPr>
          <w:color w:val="000000" w:themeColor="text1"/>
        </w:rPr>
        <w:t>三、评估范围：</w:t>
      </w:r>
      <w:r>
        <w:rPr>
          <w:rFonts w:hint="eastAsia"/>
          <w:color w:val="000000" w:themeColor="text1"/>
        </w:rPr>
        <w:t>天水长城低压电器有限公司</w:t>
      </w:r>
      <w:r>
        <w:rPr>
          <w:color w:val="000000" w:themeColor="text1"/>
        </w:rPr>
        <w:t>的全部资产及相关负债。</w:t>
      </w:r>
      <w:r>
        <w:rPr>
          <w:rFonts w:hint="eastAsia"/>
          <w:color w:val="000000" w:themeColor="text1"/>
        </w:rPr>
        <w:t>总资产账面值</w:t>
      </w:r>
      <w:r>
        <w:rPr>
          <w:color w:val="000000" w:themeColor="text1"/>
        </w:rPr>
        <w:t>0.56</w:t>
      </w:r>
      <w:r>
        <w:rPr>
          <w:rFonts w:hint="eastAsia"/>
          <w:color w:val="000000" w:themeColor="text1"/>
        </w:rPr>
        <w:t>万元；总负债账面值</w:t>
      </w:r>
      <w:r>
        <w:rPr>
          <w:color w:val="000000" w:themeColor="text1"/>
        </w:rPr>
        <w:t>0.20</w:t>
      </w:r>
      <w:r>
        <w:rPr>
          <w:rFonts w:hint="eastAsia"/>
          <w:color w:val="000000" w:themeColor="text1"/>
        </w:rPr>
        <w:t>万元，净资产账面值</w:t>
      </w:r>
      <w:r>
        <w:rPr>
          <w:color w:val="000000" w:themeColor="text1"/>
        </w:rPr>
        <w:t>0.36</w:t>
      </w:r>
      <w:r>
        <w:rPr>
          <w:rFonts w:hint="eastAsia"/>
          <w:color w:val="000000" w:themeColor="text1"/>
        </w:rPr>
        <w:t>万元。</w:t>
      </w:r>
    </w:p>
    <w:p>
      <w:pPr>
        <w:pStyle w:val="5"/>
        <w:ind w:firstLine="480" w:firstLineChars="200"/>
        <w:rPr>
          <w:color w:val="000000" w:themeColor="text1"/>
        </w:rPr>
      </w:pPr>
      <w:r>
        <w:rPr>
          <w:color w:val="000000" w:themeColor="text1"/>
        </w:rPr>
        <w:t>四、价值类型：市场价值。</w:t>
      </w:r>
    </w:p>
    <w:p>
      <w:pPr>
        <w:pStyle w:val="5"/>
        <w:ind w:firstLine="480" w:firstLineChars="200"/>
        <w:rPr>
          <w:color w:val="000000" w:themeColor="text1"/>
        </w:rPr>
      </w:pPr>
      <w:r>
        <w:rPr>
          <w:color w:val="000000" w:themeColor="text1"/>
        </w:rPr>
        <w:t>五、评估基准日：2022年9月30日。</w:t>
      </w:r>
    </w:p>
    <w:p>
      <w:pPr>
        <w:pStyle w:val="5"/>
        <w:ind w:firstLine="480" w:firstLineChars="200"/>
        <w:rPr>
          <w:color w:val="000000" w:themeColor="text1"/>
        </w:rPr>
      </w:pPr>
      <w:r>
        <w:rPr>
          <w:color w:val="000000" w:themeColor="text1"/>
        </w:rPr>
        <w:t>六、评估方法：资产基础法</w:t>
      </w:r>
      <w:r>
        <w:rPr>
          <w:rFonts w:hint="eastAsia"/>
          <w:color w:val="000000" w:themeColor="text1"/>
        </w:rPr>
        <w:t>。</w:t>
      </w:r>
    </w:p>
    <w:p>
      <w:pPr>
        <w:pStyle w:val="5"/>
        <w:ind w:firstLine="480" w:firstLineChars="200"/>
        <w:rPr>
          <w:color w:val="000000" w:themeColor="text1"/>
        </w:rPr>
      </w:pPr>
      <w:r>
        <w:rPr>
          <w:color w:val="000000" w:themeColor="text1"/>
        </w:rPr>
        <w:t>七、评估结论</w:t>
      </w:r>
      <w:r>
        <w:rPr>
          <w:color w:val="000000" w:themeColor="text1"/>
        </w:rPr>
        <w:tab/>
      </w:r>
      <w:r>
        <w:rPr>
          <w:color w:val="000000" w:themeColor="text1"/>
        </w:rPr>
        <w:tab/>
      </w:r>
      <w:r>
        <w:rPr>
          <w:color w:val="000000" w:themeColor="text1"/>
        </w:rPr>
        <w:tab/>
      </w:r>
      <w:r>
        <w:rPr>
          <w:color w:val="000000" w:themeColor="text1"/>
        </w:rPr>
        <w:tab/>
      </w:r>
    </w:p>
    <w:p>
      <w:pPr>
        <w:pStyle w:val="5"/>
        <w:spacing w:line="500" w:lineRule="exact"/>
        <w:ind w:firstLine="480"/>
        <w:rPr>
          <w:szCs w:val="24"/>
        </w:rPr>
      </w:pPr>
      <w:r>
        <w:rPr>
          <w:color w:val="000000" w:themeColor="text1"/>
        </w:rPr>
        <w:t>本次评估，评估人员采用资产基础法对评估对象进行评估，</w:t>
      </w:r>
      <w:r>
        <w:rPr>
          <w:szCs w:val="24"/>
        </w:rPr>
        <w:t>天水长城低压电器有限公司</w:t>
      </w:r>
      <w:bookmarkStart w:id="5" w:name="_Hlk83501410"/>
      <w:r>
        <w:rPr>
          <w:rFonts w:hint="eastAsia"/>
          <w:color w:val="000000" w:themeColor="text1"/>
        </w:rPr>
        <w:t>总资产账面值</w:t>
      </w:r>
      <w:r>
        <w:rPr>
          <w:color w:val="000000" w:themeColor="text1"/>
        </w:rPr>
        <w:t>0.56</w:t>
      </w:r>
      <w:r>
        <w:rPr>
          <w:rFonts w:hint="eastAsia"/>
          <w:color w:val="000000" w:themeColor="text1"/>
        </w:rPr>
        <w:t>万元；总负债账面值</w:t>
      </w:r>
      <w:r>
        <w:rPr>
          <w:color w:val="000000" w:themeColor="text1"/>
        </w:rPr>
        <w:t>0.20</w:t>
      </w:r>
      <w:r>
        <w:rPr>
          <w:rFonts w:hint="eastAsia"/>
          <w:color w:val="000000" w:themeColor="text1"/>
        </w:rPr>
        <w:t>万元，净资产账面值</w:t>
      </w:r>
      <w:r>
        <w:rPr>
          <w:color w:val="000000" w:themeColor="text1"/>
        </w:rPr>
        <w:t>0.36</w:t>
      </w:r>
      <w:r>
        <w:rPr>
          <w:rFonts w:hint="eastAsia"/>
          <w:color w:val="000000" w:themeColor="text1"/>
        </w:rPr>
        <w:t>万元</w:t>
      </w:r>
      <w:r>
        <w:rPr>
          <w:szCs w:val="24"/>
        </w:rPr>
        <w:t>。</w:t>
      </w:r>
    </w:p>
    <w:p>
      <w:pPr>
        <w:pStyle w:val="5"/>
        <w:spacing w:line="500" w:lineRule="exact"/>
        <w:ind w:firstLine="480"/>
        <w:rPr>
          <w:szCs w:val="24"/>
        </w:rPr>
      </w:pPr>
      <w:r>
        <w:rPr>
          <w:szCs w:val="24"/>
        </w:rPr>
        <w:t>采用资产基础法评估后的总资产为</w:t>
      </w:r>
      <w:r>
        <w:rPr>
          <w:color w:val="000000" w:themeColor="text1"/>
        </w:rPr>
        <w:t>0.56</w:t>
      </w:r>
      <w:r>
        <w:rPr>
          <w:szCs w:val="24"/>
        </w:rPr>
        <w:t>万元，负债为</w:t>
      </w:r>
      <w:r>
        <w:rPr>
          <w:color w:val="000000" w:themeColor="text1"/>
        </w:rPr>
        <w:t>0.20</w:t>
      </w:r>
      <w:r>
        <w:rPr>
          <w:szCs w:val="24"/>
        </w:rPr>
        <w:t>万元，净资产为</w:t>
      </w:r>
      <w:r>
        <w:rPr>
          <w:color w:val="000000" w:themeColor="text1"/>
        </w:rPr>
        <w:t>0.36</w:t>
      </w:r>
      <w:r>
        <w:rPr>
          <w:szCs w:val="24"/>
        </w:rPr>
        <w:t>万元。</w:t>
      </w:r>
    </w:p>
    <w:bookmarkEnd w:id="5"/>
    <w:p>
      <w:pPr>
        <w:pStyle w:val="5"/>
        <w:ind w:firstLine="480" w:firstLineChars="200"/>
        <w:rPr>
          <w:color w:val="000000" w:themeColor="text1"/>
        </w:rPr>
      </w:pPr>
      <w:r>
        <w:rPr>
          <w:color w:val="000000" w:themeColor="text1"/>
        </w:rPr>
        <w:t>评估汇总情况详见下表：</w:t>
      </w:r>
    </w:p>
    <w:p>
      <w:pPr>
        <w:pStyle w:val="5"/>
        <w:spacing w:line="480" w:lineRule="exact"/>
        <w:ind w:firstLine="0"/>
        <w:jc w:val="center"/>
        <w:rPr>
          <w:color w:val="000000" w:themeColor="text1"/>
        </w:rPr>
      </w:pPr>
      <w:r>
        <w:rPr>
          <w:color w:val="000000" w:themeColor="text1"/>
        </w:rPr>
        <w:t>资产评估结果汇总表</w:t>
      </w:r>
    </w:p>
    <w:p>
      <w:pPr>
        <w:adjustRightInd w:val="0"/>
        <w:spacing w:line="480" w:lineRule="exact"/>
        <w:jc w:val="right"/>
        <w:rPr>
          <w:color w:val="000000" w:themeColor="text1"/>
          <w:kern w:val="0"/>
          <w:sz w:val="21"/>
          <w:szCs w:val="21"/>
        </w:rPr>
      </w:pPr>
      <w:r>
        <w:rPr>
          <w:color w:val="000000" w:themeColor="text1"/>
          <w:kern w:val="0"/>
          <w:sz w:val="21"/>
          <w:szCs w:val="21"/>
        </w:rPr>
        <w:t>金额单位：人民币万元</w:t>
      </w:r>
    </w:p>
    <w:tbl>
      <w:tblPr>
        <w:tblStyle w:val="31"/>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435"/>
        <w:gridCol w:w="1643"/>
        <w:gridCol w:w="1559"/>
        <w:gridCol w:w="1632"/>
        <w:gridCol w:w="14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trPr>
        <w:tc>
          <w:tcPr>
            <w:tcW w:w="1396" w:type="pct"/>
            <w:shd w:val="clear" w:color="auto" w:fill="auto"/>
          </w:tcPr>
          <w:p>
            <w:pPr>
              <w:adjustRightInd w:val="0"/>
              <w:spacing w:before="60" w:after="60" w:line="312" w:lineRule="atLeast"/>
              <w:jc w:val="center"/>
              <w:textAlignment w:val="baseline"/>
              <w:rPr>
                <w:b/>
                <w:kern w:val="0"/>
                <w:sz w:val="20"/>
              </w:rPr>
            </w:pPr>
            <w:r>
              <w:rPr>
                <w:b/>
                <w:kern w:val="0"/>
                <w:sz w:val="20"/>
              </w:rPr>
              <w:t>项目名称</w:t>
            </w:r>
          </w:p>
        </w:tc>
        <w:tc>
          <w:tcPr>
            <w:tcW w:w="942" w:type="pct"/>
            <w:shd w:val="clear" w:color="auto" w:fill="auto"/>
          </w:tcPr>
          <w:p>
            <w:pPr>
              <w:adjustRightInd w:val="0"/>
              <w:spacing w:before="60" w:after="60" w:line="312" w:lineRule="atLeast"/>
              <w:jc w:val="center"/>
              <w:textAlignment w:val="baseline"/>
              <w:rPr>
                <w:b/>
                <w:kern w:val="0"/>
                <w:sz w:val="20"/>
              </w:rPr>
            </w:pPr>
            <w:r>
              <w:rPr>
                <w:b/>
                <w:kern w:val="0"/>
                <w:sz w:val="20"/>
              </w:rPr>
              <w:t>账面价值</w:t>
            </w:r>
          </w:p>
        </w:tc>
        <w:tc>
          <w:tcPr>
            <w:tcW w:w="894" w:type="pct"/>
            <w:shd w:val="clear" w:color="auto" w:fill="auto"/>
          </w:tcPr>
          <w:p>
            <w:pPr>
              <w:adjustRightInd w:val="0"/>
              <w:spacing w:before="60" w:after="60" w:line="312" w:lineRule="atLeast"/>
              <w:jc w:val="center"/>
              <w:textAlignment w:val="baseline"/>
              <w:rPr>
                <w:b/>
                <w:kern w:val="0"/>
                <w:sz w:val="20"/>
              </w:rPr>
            </w:pPr>
            <w:r>
              <w:rPr>
                <w:b/>
                <w:kern w:val="0"/>
                <w:sz w:val="20"/>
              </w:rPr>
              <w:t>评估价值</w:t>
            </w:r>
          </w:p>
        </w:tc>
        <w:tc>
          <w:tcPr>
            <w:tcW w:w="936" w:type="pct"/>
          </w:tcPr>
          <w:p>
            <w:pPr>
              <w:adjustRightInd w:val="0"/>
              <w:spacing w:before="60" w:after="60" w:line="312" w:lineRule="atLeast"/>
              <w:jc w:val="center"/>
              <w:textAlignment w:val="baseline"/>
              <w:rPr>
                <w:b/>
                <w:kern w:val="0"/>
                <w:sz w:val="20"/>
              </w:rPr>
            </w:pPr>
            <w:r>
              <w:rPr>
                <w:b/>
                <w:kern w:val="0"/>
                <w:sz w:val="20"/>
              </w:rPr>
              <w:t>增减值</w:t>
            </w:r>
          </w:p>
        </w:tc>
        <w:tc>
          <w:tcPr>
            <w:tcW w:w="832" w:type="pct"/>
            <w:shd w:val="clear" w:color="auto" w:fill="auto"/>
          </w:tcPr>
          <w:p>
            <w:pPr>
              <w:adjustRightInd w:val="0"/>
              <w:spacing w:before="60" w:after="60" w:line="312" w:lineRule="atLeast"/>
              <w:jc w:val="center"/>
              <w:textAlignment w:val="baseline"/>
              <w:rPr>
                <w:b/>
                <w:kern w:val="0"/>
                <w:sz w:val="20"/>
              </w:rPr>
            </w:pPr>
            <w:r>
              <w:rPr>
                <w:b/>
                <w:kern w:val="0"/>
                <w:sz w:val="20"/>
              </w:rPr>
              <w:t>增值率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流动资产</w:t>
            </w:r>
          </w:p>
        </w:tc>
        <w:tc>
          <w:tcPr>
            <w:tcW w:w="942" w:type="pct"/>
            <w:shd w:val="clear" w:color="auto" w:fill="auto"/>
            <w:vAlign w:val="center"/>
          </w:tcPr>
          <w:p>
            <w:pPr>
              <w:jc w:val="right"/>
              <w:rPr>
                <w:sz w:val="20"/>
              </w:rPr>
            </w:pPr>
            <w:r>
              <w:rPr>
                <w:sz w:val="20"/>
              </w:rPr>
              <w:t>0.56</w:t>
            </w:r>
          </w:p>
        </w:tc>
        <w:tc>
          <w:tcPr>
            <w:tcW w:w="894" w:type="pct"/>
            <w:shd w:val="clear" w:color="auto" w:fill="auto"/>
            <w:vAlign w:val="center"/>
          </w:tcPr>
          <w:p>
            <w:pPr>
              <w:jc w:val="right"/>
              <w:rPr>
                <w:sz w:val="20"/>
              </w:rPr>
            </w:pPr>
            <w:r>
              <w:rPr>
                <w:sz w:val="20"/>
              </w:rPr>
              <w:t>0.56</w:t>
            </w:r>
          </w:p>
        </w:tc>
        <w:tc>
          <w:tcPr>
            <w:tcW w:w="936" w:type="pct"/>
            <w:vAlign w:val="center"/>
          </w:tcPr>
          <w:p>
            <w:pPr>
              <w:jc w:val="right"/>
              <w:rPr>
                <w:sz w:val="20"/>
              </w:rPr>
            </w:pPr>
            <w:r>
              <w:rPr>
                <w:sz w:val="20"/>
              </w:rPr>
              <w:t>-</w:t>
            </w:r>
          </w:p>
        </w:tc>
        <w:tc>
          <w:tcPr>
            <w:tcW w:w="832" w:type="pct"/>
            <w:shd w:val="clear" w:color="auto" w:fill="auto"/>
            <w:vAlign w:val="center"/>
          </w:tcPr>
          <w:p>
            <w:pPr>
              <w:jc w:val="right"/>
              <w:rPr>
                <w:sz w:val="20"/>
              </w:rPr>
            </w:pPr>
            <w:r>
              <w:rPr>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非流动资产</w:t>
            </w:r>
          </w:p>
        </w:tc>
        <w:tc>
          <w:tcPr>
            <w:tcW w:w="942" w:type="pct"/>
            <w:shd w:val="clear" w:color="auto" w:fill="auto"/>
            <w:vAlign w:val="center"/>
          </w:tcPr>
          <w:p>
            <w:pPr>
              <w:jc w:val="right"/>
              <w:rPr>
                <w:sz w:val="20"/>
              </w:rPr>
            </w:pPr>
          </w:p>
        </w:tc>
        <w:tc>
          <w:tcPr>
            <w:tcW w:w="894" w:type="pct"/>
            <w:shd w:val="clear" w:color="auto" w:fill="auto"/>
            <w:vAlign w:val="center"/>
          </w:tcPr>
          <w:p>
            <w:pPr>
              <w:jc w:val="right"/>
              <w:rPr>
                <w:sz w:val="20"/>
              </w:rPr>
            </w:pPr>
          </w:p>
        </w:tc>
        <w:tc>
          <w:tcPr>
            <w:tcW w:w="936"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其中：长期股权投资</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投资性房地产</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固定资产</w:t>
            </w:r>
          </w:p>
        </w:tc>
        <w:tc>
          <w:tcPr>
            <w:tcW w:w="942" w:type="pct"/>
            <w:shd w:val="clear" w:color="auto" w:fill="auto"/>
            <w:vAlign w:val="center"/>
          </w:tcPr>
          <w:p>
            <w:pPr>
              <w:jc w:val="right"/>
              <w:rPr>
                <w:sz w:val="20"/>
              </w:rPr>
            </w:pPr>
          </w:p>
        </w:tc>
        <w:tc>
          <w:tcPr>
            <w:tcW w:w="894" w:type="pct"/>
            <w:shd w:val="clear" w:color="auto" w:fill="auto"/>
            <w:vAlign w:val="center"/>
          </w:tcPr>
          <w:p>
            <w:pPr>
              <w:jc w:val="right"/>
              <w:rPr>
                <w:sz w:val="20"/>
              </w:rPr>
            </w:pPr>
          </w:p>
        </w:tc>
        <w:tc>
          <w:tcPr>
            <w:tcW w:w="936"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在建工程</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无形资产</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700" w:firstLineChars="350"/>
              <w:textAlignment w:val="baseline"/>
              <w:rPr>
                <w:kern w:val="0"/>
                <w:sz w:val="20"/>
              </w:rPr>
            </w:pPr>
            <w:r>
              <w:rPr>
                <w:rFonts w:hint="eastAsia"/>
                <w:kern w:val="0"/>
                <w:sz w:val="20"/>
              </w:rPr>
              <w:t>长期待摊费用</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500" w:firstLineChars="250"/>
              <w:textAlignment w:val="baseline"/>
              <w:rPr>
                <w:kern w:val="0"/>
                <w:sz w:val="20"/>
              </w:rPr>
            </w:pPr>
            <w:r>
              <w:rPr>
                <w:kern w:val="0"/>
                <w:sz w:val="20"/>
              </w:rPr>
              <w:t>递延所得税资产</w:t>
            </w:r>
          </w:p>
        </w:tc>
        <w:tc>
          <w:tcPr>
            <w:tcW w:w="942" w:type="pct"/>
            <w:shd w:val="clear" w:color="auto" w:fill="auto"/>
            <w:vAlign w:val="center"/>
          </w:tcPr>
          <w:p>
            <w:pPr>
              <w:jc w:val="right"/>
              <w:rPr>
                <w:sz w:val="20"/>
              </w:rPr>
            </w:pPr>
          </w:p>
        </w:tc>
        <w:tc>
          <w:tcPr>
            <w:tcW w:w="894" w:type="pct"/>
            <w:shd w:val="clear" w:color="auto" w:fill="auto"/>
            <w:vAlign w:val="center"/>
          </w:tcPr>
          <w:p>
            <w:pPr>
              <w:jc w:val="right"/>
              <w:rPr>
                <w:sz w:val="20"/>
              </w:rPr>
            </w:pPr>
          </w:p>
        </w:tc>
        <w:tc>
          <w:tcPr>
            <w:tcW w:w="936"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500" w:firstLineChars="250"/>
              <w:textAlignment w:val="baseline"/>
              <w:rPr>
                <w:kern w:val="0"/>
                <w:sz w:val="20"/>
              </w:rPr>
            </w:pPr>
            <w:r>
              <w:rPr>
                <w:kern w:val="0"/>
                <w:sz w:val="20"/>
              </w:rPr>
              <w:t>其他非流动资产</w:t>
            </w:r>
          </w:p>
        </w:tc>
        <w:tc>
          <w:tcPr>
            <w:tcW w:w="942" w:type="pct"/>
            <w:shd w:val="clear" w:color="auto" w:fill="auto"/>
            <w:vAlign w:val="center"/>
          </w:tcPr>
          <w:p>
            <w:pPr>
              <w:ind w:firstLine="400"/>
              <w:jc w:val="right"/>
              <w:rPr>
                <w:sz w:val="20"/>
              </w:rPr>
            </w:pPr>
          </w:p>
        </w:tc>
        <w:tc>
          <w:tcPr>
            <w:tcW w:w="894" w:type="pct"/>
            <w:shd w:val="clear" w:color="auto" w:fill="auto"/>
            <w:vAlign w:val="center"/>
          </w:tcPr>
          <w:p>
            <w:pPr>
              <w:ind w:firstLine="400"/>
              <w:jc w:val="right"/>
              <w:rPr>
                <w:sz w:val="20"/>
              </w:rPr>
            </w:pPr>
          </w:p>
        </w:tc>
        <w:tc>
          <w:tcPr>
            <w:tcW w:w="936"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fldChar w:fldCharType="begin"/>
            </w:r>
            <w:r>
              <w:instrText xml:space="preserve"> HYPERLINK "file:///E:\\1资产评估\\1天健兴业\\0评估程序\\3评估报告模板\\1评估模板-feng\\2成本法评估明细表\\资产评估明细表（工贸企业）.xls" \l "分类汇总!B38" </w:instrText>
            </w:r>
            <w:r>
              <w:fldChar w:fldCharType="separate"/>
            </w:r>
            <w:r>
              <w:rPr>
                <w:b/>
                <w:kern w:val="0"/>
                <w:sz w:val="20"/>
              </w:rPr>
              <w:t>资产总计</w:t>
            </w:r>
            <w:r>
              <w:rPr>
                <w:b/>
                <w:kern w:val="0"/>
                <w:sz w:val="20"/>
              </w:rPr>
              <w:fldChar w:fldCharType="end"/>
            </w:r>
          </w:p>
        </w:tc>
        <w:tc>
          <w:tcPr>
            <w:tcW w:w="942" w:type="pct"/>
            <w:shd w:val="clear" w:color="auto" w:fill="auto"/>
            <w:vAlign w:val="center"/>
          </w:tcPr>
          <w:p>
            <w:pPr>
              <w:jc w:val="right"/>
              <w:rPr>
                <w:b/>
                <w:sz w:val="20"/>
              </w:rPr>
            </w:pPr>
            <w:r>
              <w:rPr>
                <w:b/>
                <w:sz w:val="20"/>
              </w:rPr>
              <w:t>0.56</w:t>
            </w:r>
          </w:p>
        </w:tc>
        <w:tc>
          <w:tcPr>
            <w:tcW w:w="894" w:type="pct"/>
            <w:shd w:val="clear" w:color="auto" w:fill="auto"/>
            <w:vAlign w:val="center"/>
          </w:tcPr>
          <w:p>
            <w:pPr>
              <w:jc w:val="right"/>
              <w:rPr>
                <w:b/>
                <w:sz w:val="20"/>
              </w:rPr>
            </w:pPr>
            <w:r>
              <w:rPr>
                <w:b/>
                <w:sz w:val="20"/>
              </w:rPr>
              <w:t>0.56</w:t>
            </w:r>
          </w:p>
        </w:tc>
        <w:tc>
          <w:tcPr>
            <w:tcW w:w="936" w:type="pct"/>
            <w:vAlign w:val="center"/>
          </w:tcPr>
          <w:p>
            <w:pPr>
              <w:jc w:val="right"/>
              <w:rPr>
                <w:b/>
                <w:sz w:val="20"/>
              </w:rPr>
            </w:pPr>
            <w:r>
              <w:rPr>
                <w:b/>
                <w:sz w:val="20"/>
              </w:rPr>
              <w:t>-</w:t>
            </w:r>
          </w:p>
        </w:tc>
        <w:tc>
          <w:tcPr>
            <w:tcW w:w="832" w:type="pct"/>
            <w:shd w:val="clear" w:color="auto" w:fill="auto"/>
            <w:vAlign w:val="center"/>
          </w:tcPr>
          <w:p>
            <w:pPr>
              <w:jc w:val="right"/>
              <w:rPr>
                <w:b/>
                <w:sz w:val="20"/>
              </w:rPr>
            </w:pPr>
            <w:r>
              <w:rPr>
                <w:b/>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流动负债</w:t>
            </w:r>
          </w:p>
        </w:tc>
        <w:tc>
          <w:tcPr>
            <w:tcW w:w="942" w:type="pct"/>
            <w:shd w:val="clear" w:color="auto" w:fill="auto"/>
            <w:vAlign w:val="center"/>
          </w:tcPr>
          <w:p>
            <w:pPr>
              <w:jc w:val="right"/>
              <w:rPr>
                <w:sz w:val="20"/>
              </w:rPr>
            </w:pPr>
            <w:r>
              <w:rPr>
                <w:sz w:val="20"/>
              </w:rPr>
              <w:t>0.20</w:t>
            </w:r>
          </w:p>
        </w:tc>
        <w:tc>
          <w:tcPr>
            <w:tcW w:w="894" w:type="pct"/>
            <w:shd w:val="clear" w:color="auto" w:fill="auto"/>
            <w:vAlign w:val="center"/>
          </w:tcPr>
          <w:p>
            <w:pPr>
              <w:jc w:val="right"/>
              <w:rPr>
                <w:sz w:val="20"/>
              </w:rPr>
            </w:pPr>
            <w:r>
              <w:rPr>
                <w:sz w:val="20"/>
              </w:rPr>
              <w:t>0.20</w:t>
            </w:r>
          </w:p>
        </w:tc>
        <w:tc>
          <w:tcPr>
            <w:tcW w:w="936" w:type="pct"/>
            <w:vAlign w:val="center"/>
          </w:tcPr>
          <w:p>
            <w:pPr>
              <w:jc w:val="right"/>
              <w:rPr>
                <w:sz w:val="20"/>
              </w:rPr>
            </w:pPr>
            <w:r>
              <w:rPr>
                <w:sz w:val="20"/>
              </w:rPr>
              <w:t>-</w:t>
            </w:r>
          </w:p>
        </w:tc>
        <w:tc>
          <w:tcPr>
            <w:tcW w:w="832" w:type="pct"/>
            <w:shd w:val="clear" w:color="auto" w:fill="auto"/>
            <w:vAlign w:val="center"/>
          </w:tcPr>
          <w:p>
            <w:pPr>
              <w:jc w:val="right"/>
              <w:rPr>
                <w:sz w:val="20"/>
              </w:rPr>
            </w:pPr>
            <w:r>
              <w:rPr>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非流动负债</w:t>
            </w:r>
          </w:p>
        </w:tc>
        <w:tc>
          <w:tcPr>
            <w:tcW w:w="942" w:type="pct"/>
            <w:shd w:val="clear" w:color="auto" w:fill="auto"/>
            <w:vAlign w:val="center"/>
          </w:tcPr>
          <w:p>
            <w:pPr>
              <w:jc w:val="right"/>
              <w:rPr>
                <w:sz w:val="20"/>
              </w:rPr>
            </w:pPr>
            <w:r>
              <w:rPr>
                <w:sz w:val="20"/>
              </w:rPr>
              <w:t>-</w:t>
            </w:r>
          </w:p>
        </w:tc>
        <w:tc>
          <w:tcPr>
            <w:tcW w:w="894" w:type="pct"/>
            <w:shd w:val="clear" w:color="auto" w:fill="auto"/>
            <w:vAlign w:val="center"/>
          </w:tcPr>
          <w:p>
            <w:pPr>
              <w:jc w:val="right"/>
              <w:rPr>
                <w:sz w:val="20"/>
              </w:rPr>
            </w:pPr>
            <w:r>
              <w:rPr>
                <w:sz w:val="20"/>
              </w:rPr>
              <w:t>-</w:t>
            </w:r>
          </w:p>
        </w:tc>
        <w:tc>
          <w:tcPr>
            <w:tcW w:w="936" w:type="pct"/>
            <w:vAlign w:val="center"/>
          </w:tcPr>
          <w:p>
            <w:pPr>
              <w:jc w:val="right"/>
              <w:rPr>
                <w:sz w:val="20"/>
              </w:rPr>
            </w:pPr>
            <w:r>
              <w:rPr>
                <w:sz w:val="20"/>
              </w:rPr>
              <w:t>-</w:t>
            </w: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rPr>
                <w:b/>
                <w:kern w:val="0"/>
                <w:sz w:val="20"/>
              </w:rPr>
              <w:t>负债总计</w:t>
            </w:r>
          </w:p>
        </w:tc>
        <w:tc>
          <w:tcPr>
            <w:tcW w:w="942" w:type="pct"/>
            <w:shd w:val="clear" w:color="auto" w:fill="auto"/>
            <w:vAlign w:val="center"/>
          </w:tcPr>
          <w:p>
            <w:pPr>
              <w:jc w:val="right"/>
              <w:rPr>
                <w:b/>
                <w:sz w:val="20"/>
              </w:rPr>
            </w:pPr>
            <w:r>
              <w:rPr>
                <w:b/>
                <w:sz w:val="20"/>
              </w:rPr>
              <w:t>0.20</w:t>
            </w:r>
          </w:p>
        </w:tc>
        <w:tc>
          <w:tcPr>
            <w:tcW w:w="894" w:type="pct"/>
            <w:shd w:val="clear" w:color="auto" w:fill="auto"/>
            <w:vAlign w:val="center"/>
          </w:tcPr>
          <w:p>
            <w:pPr>
              <w:jc w:val="right"/>
              <w:rPr>
                <w:b/>
                <w:sz w:val="20"/>
              </w:rPr>
            </w:pPr>
            <w:r>
              <w:rPr>
                <w:b/>
                <w:sz w:val="20"/>
              </w:rPr>
              <w:t>0.20</w:t>
            </w:r>
          </w:p>
        </w:tc>
        <w:tc>
          <w:tcPr>
            <w:tcW w:w="936" w:type="pct"/>
            <w:vAlign w:val="center"/>
          </w:tcPr>
          <w:p>
            <w:pPr>
              <w:jc w:val="right"/>
              <w:rPr>
                <w:b/>
                <w:sz w:val="20"/>
              </w:rPr>
            </w:pPr>
            <w:r>
              <w:rPr>
                <w:b/>
                <w:sz w:val="20"/>
              </w:rPr>
              <w:t>-</w:t>
            </w:r>
          </w:p>
        </w:tc>
        <w:tc>
          <w:tcPr>
            <w:tcW w:w="832" w:type="pct"/>
            <w:shd w:val="clear" w:color="auto" w:fill="auto"/>
            <w:vAlign w:val="center"/>
          </w:tcPr>
          <w:p>
            <w:pPr>
              <w:jc w:val="right"/>
              <w:rPr>
                <w:b/>
                <w:sz w:val="20"/>
              </w:rPr>
            </w:pPr>
            <w:r>
              <w:rPr>
                <w:b/>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rPr>
                <w:b/>
                <w:kern w:val="0"/>
                <w:sz w:val="20"/>
              </w:rPr>
              <w:t>净资产</w:t>
            </w:r>
          </w:p>
        </w:tc>
        <w:tc>
          <w:tcPr>
            <w:tcW w:w="942" w:type="pct"/>
            <w:shd w:val="clear" w:color="auto" w:fill="auto"/>
            <w:vAlign w:val="center"/>
          </w:tcPr>
          <w:p>
            <w:pPr>
              <w:jc w:val="right"/>
              <w:rPr>
                <w:b/>
                <w:bCs/>
                <w:sz w:val="20"/>
              </w:rPr>
            </w:pPr>
            <w:r>
              <w:rPr>
                <w:rFonts w:hint="eastAsia"/>
                <w:b/>
                <w:bCs/>
                <w:sz w:val="20"/>
              </w:rPr>
              <w:t>0.36</w:t>
            </w:r>
          </w:p>
        </w:tc>
        <w:tc>
          <w:tcPr>
            <w:tcW w:w="894" w:type="pct"/>
            <w:shd w:val="clear" w:color="auto" w:fill="auto"/>
            <w:vAlign w:val="center"/>
          </w:tcPr>
          <w:p>
            <w:pPr>
              <w:jc w:val="right"/>
              <w:rPr>
                <w:b/>
                <w:bCs/>
                <w:sz w:val="20"/>
              </w:rPr>
            </w:pPr>
            <w:r>
              <w:rPr>
                <w:rFonts w:hint="eastAsia"/>
                <w:b/>
                <w:bCs/>
                <w:sz w:val="20"/>
              </w:rPr>
              <w:t>0.36</w:t>
            </w:r>
          </w:p>
        </w:tc>
        <w:tc>
          <w:tcPr>
            <w:tcW w:w="936" w:type="pct"/>
            <w:vAlign w:val="center"/>
          </w:tcPr>
          <w:p>
            <w:pPr>
              <w:jc w:val="right"/>
              <w:rPr>
                <w:b/>
                <w:bCs/>
                <w:sz w:val="20"/>
              </w:rPr>
            </w:pPr>
            <w:r>
              <w:rPr>
                <w:rFonts w:hint="eastAsia"/>
                <w:b/>
                <w:bCs/>
                <w:sz w:val="20"/>
              </w:rPr>
              <w:t>-</w:t>
            </w:r>
          </w:p>
        </w:tc>
        <w:tc>
          <w:tcPr>
            <w:tcW w:w="832" w:type="pct"/>
            <w:shd w:val="clear" w:color="auto" w:fill="auto"/>
            <w:vAlign w:val="center"/>
          </w:tcPr>
          <w:p>
            <w:pPr>
              <w:jc w:val="right"/>
              <w:rPr>
                <w:b/>
                <w:bCs/>
                <w:sz w:val="20"/>
              </w:rPr>
            </w:pPr>
            <w:r>
              <w:rPr>
                <w:rFonts w:hint="eastAsia"/>
                <w:b/>
                <w:bCs/>
                <w:sz w:val="20"/>
              </w:rPr>
              <w:t>-</w:t>
            </w:r>
          </w:p>
        </w:tc>
      </w:tr>
    </w:tbl>
    <w:p>
      <w:pPr>
        <w:pStyle w:val="5"/>
        <w:ind w:firstLine="480" w:firstLineChars="200"/>
        <w:rPr>
          <w:color w:val="000000" w:themeColor="text1"/>
        </w:rPr>
      </w:pPr>
      <w:r>
        <w:rPr>
          <w:color w:val="000000" w:themeColor="text1"/>
        </w:rPr>
        <w:t>报告使用者在使用本报告的评估结论时，请注意本报告正文中第十一项“特别事项说明”对评估结论的影响；并关注评估结论成立的评估假设及前提条件。</w:t>
      </w:r>
    </w:p>
    <w:p>
      <w:pPr>
        <w:pStyle w:val="5"/>
        <w:ind w:firstLine="480" w:firstLineChars="200"/>
        <w:rPr>
          <w:color w:val="000000" w:themeColor="text1"/>
        </w:rPr>
      </w:pPr>
      <w:r>
        <w:rPr>
          <w:color w:val="000000" w:themeColor="text1"/>
        </w:rPr>
        <w:t>我们特别强调：本评估意见仅作为</w:t>
      </w:r>
      <w:r>
        <w:rPr>
          <w:rFonts w:hint="eastAsia"/>
          <w:color w:val="000000" w:themeColor="text1"/>
        </w:rPr>
        <w:t>天水长城低压电器有限公司股权变更提供</w:t>
      </w:r>
      <w:r>
        <w:rPr>
          <w:color w:val="000000" w:themeColor="text1"/>
        </w:rPr>
        <w:t>价值参考</w:t>
      </w:r>
      <w:r>
        <w:rPr>
          <w:rFonts w:hint="eastAsia"/>
          <w:color w:val="000000" w:themeColor="text1"/>
        </w:rPr>
        <w:t>意见</w:t>
      </w:r>
      <w:r>
        <w:rPr>
          <w:color w:val="000000" w:themeColor="text1"/>
        </w:rPr>
        <w:t>，而不能取代各方进行</w:t>
      </w:r>
      <w:r>
        <w:rPr>
          <w:rFonts w:hint="eastAsia"/>
          <w:color w:val="000000" w:themeColor="text1"/>
        </w:rPr>
        <w:t>该评估目的</w:t>
      </w:r>
      <w:r>
        <w:rPr>
          <w:color w:val="000000" w:themeColor="text1"/>
        </w:rPr>
        <w:t>价格的决定。</w:t>
      </w:r>
    </w:p>
    <w:p>
      <w:pPr>
        <w:pStyle w:val="5"/>
        <w:ind w:firstLine="480" w:firstLineChars="200"/>
        <w:rPr>
          <w:color w:val="000000" w:themeColor="text1"/>
        </w:rPr>
      </w:pPr>
      <w:r>
        <w:rPr>
          <w:color w:val="000000" w:themeColor="text1"/>
        </w:rPr>
        <w:t>本报告及其结论仅用于本报告设定的评估目的，而不能用于其他目的。</w:t>
      </w:r>
    </w:p>
    <w:p>
      <w:pPr>
        <w:pStyle w:val="5"/>
        <w:ind w:firstLine="480" w:firstLineChars="200"/>
        <w:rPr>
          <w:color w:val="000000" w:themeColor="text1"/>
        </w:rPr>
      </w:pPr>
      <w:r>
        <w:rPr>
          <w:color w:val="000000" w:themeColor="text1"/>
        </w:rPr>
        <w:t>根据国家的有关规定，本评估报告使用的有效期限为自评估</w:t>
      </w:r>
      <w:r>
        <w:rPr>
          <w:rFonts w:hint="eastAsia"/>
          <w:color w:val="000000" w:themeColor="text1"/>
        </w:rPr>
        <w:t>基准日</w:t>
      </w:r>
      <w:r>
        <w:rPr>
          <w:color w:val="000000" w:themeColor="text1"/>
        </w:rPr>
        <w:t>起1年有效。</w:t>
      </w:r>
    </w:p>
    <w:p>
      <w:pPr>
        <w:pStyle w:val="5"/>
        <w:ind w:firstLine="482" w:firstLineChars="200"/>
        <w:rPr>
          <w:b/>
          <w:color w:val="000000" w:themeColor="text1"/>
        </w:rPr>
      </w:pPr>
      <w:r>
        <w:rPr>
          <w:b/>
          <w:color w:val="000000" w:themeColor="text1"/>
        </w:rPr>
        <w:t>以上内容摘自资产评估报告正文，欲了解本评估</w:t>
      </w:r>
      <w:r>
        <w:rPr>
          <w:rFonts w:hint="eastAsia"/>
          <w:b/>
          <w:color w:val="000000" w:themeColor="text1"/>
        </w:rPr>
        <w:t>业务</w:t>
      </w:r>
      <w:r>
        <w:rPr>
          <w:b/>
          <w:color w:val="000000" w:themeColor="text1"/>
        </w:rPr>
        <w:t>的</w:t>
      </w:r>
      <w:r>
        <w:rPr>
          <w:rFonts w:hint="eastAsia"/>
          <w:b/>
          <w:color w:val="000000" w:themeColor="text1"/>
        </w:rPr>
        <w:t>详细</w:t>
      </w:r>
      <w:r>
        <w:rPr>
          <w:b/>
          <w:color w:val="000000" w:themeColor="text1"/>
        </w:rPr>
        <w:t>情况和</w:t>
      </w:r>
      <w:r>
        <w:rPr>
          <w:rFonts w:hint="eastAsia"/>
          <w:b/>
          <w:color w:val="000000" w:themeColor="text1"/>
        </w:rPr>
        <w:t>正确</w:t>
      </w:r>
      <w:r>
        <w:rPr>
          <w:b/>
          <w:color w:val="000000" w:themeColor="text1"/>
        </w:rPr>
        <w:t>理解评估结论，</w:t>
      </w:r>
      <w:r>
        <w:rPr>
          <w:rFonts w:hint="eastAsia"/>
          <w:b/>
          <w:color w:val="000000" w:themeColor="text1"/>
        </w:rPr>
        <w:t>应当阅读资产评估报告正文</w:t>
      </w:r>
      <w:r>
        <w:rPr>
          <w:b/>
          <w:color w:val="000000" w:themeColor="text1"/>
        </w:rPr>
        <w:t>，并请关注特别事项说明部分的内容。</w:t>
      </w:r>
      <w:r>
        <w:rPr>
          <w:b/>
          <w:color w:val="000000" w:themeColor="text1"/>
        </w:rPr>
        <w:br w:type="page"/>
      </w:r>
    </w:p>
    <w:p>
      <w:pPr>
        <w:pStyle w:val="15"/>
        <w:spacing w:line="360" w:lineRule="auto"/>
        <w:ind w:right="-1"/>
        <w:jc w:val="distribute"/>
        <w:rPr>
          <w:rFonts w:ascii="Times New Roman" w:hAnsi="Times New Roman"/>
          <w:b/>
          <w:color w:val="000000" w:themeColor="text1"/>
          <w:sz w:val="72"/>
          <w:szCs w:val="72"/>
        </w:rPr>
      </w:pPr>
      <w:r>
        <w:rPr>
          <w:rFonts w:ascii="Times New Roman" w:hAnsi="Times New Roman"/>
          <w:b/>
          <w:color w:val="000000" w:themeColor="text1"/>
          <w:sz w:val="72"/>
          <w:szCs w:val="72"/>
        </w:rPr>
        <w:t>甘肃百诚资产评估事务所</w:t>
      </w:r>
    </w:p>
    <w:p>
      <w:pPr>
        <w:pStyle w:val="15"/>
        <w:spacing w:line="500" w:lineRule="exact"/>
        <w:jc w:val="center"/>
        <w:rPr>
          <w:rFonts w:ascii="Times New Roman" w:hAnsi="Times New Roman"/>
          <w:color w:val="000000" w:themeColor="text1"/>
          <w:sz w:val="36"/>
        </w:rPr>
      </w:pPr>
      <w:r>
        <w:rPr>
          <w:rFonts w:ascii="Times New Roman" w:hAnsi="Times New Roman"/>
          <w:b/>
          <w:color w:val="000000" w:themeColor="text1"/>
          <w:sz w:val="52"/>
          <w:szCs w:val="52"/>
        </w:rPr>
        <w:t>GansuBaicheng</w:t>
      </w:r>
      <w:r>
        <w:rPr>
          <w:rFonts w:hint="eastAsia" w:ascii="Times New Roman" w:hAnsi="Times New Roman"/>
          <w:b/>
          <w:color w:val="000000" w:themeColor="text1"/>
          <w:sz w:val="52"/>
          <w:szCs w:val="52"/>
        </w:rPr>
        <w:t>A</w:t>
      </w:r>
      <w:r>
        <w:rPr>
          <w:rFonts w:ascii="Times New Roman" w:hAnsi="Times New Roman"/>
          <w:b/>
          <w:color w:val="000000" w:themeColor="text1"/>
          <w:sz w:val="52"/>
          <w:szCs w:val="52"/>
        </w:rPr>
        <w:t>sset</w:t>
      </w:r>
      <w:r>
        <w:rPr>
          <w:rFonts w:hint="eastAsia" w:ascii="Times New Roman" w:hAnsi="Times New Roman"/>
          <w:b/>
          <w:color w:val="000000" w:themeColor="text1"/>
          <w:sz w:val="52"/>
          <w:szCs w:val="52"/>
        </w:rPr>
        <w:t>sA</w:t>
      </w:r>
      <w:r>
        <w:rPr>
          <w:rFonts w:ascii="Times New Roman" w:hAnsi="Times New Roman"/>
          <w:b/>
          <w:color w:val="000000" w:themeColor="text1"/>
          <w:sz w:val="52"/>
          <w:szCs w:val="52"/>
        </w:rPr>
        <w:t>ppraisal</w:t>
      </w:r>
      <w:r>
        <w:rPr>
          <w:rFonts w:hint="eastAsia" w:ascii="Times New Roman" w:hAnsi="Times New Roman"/>
          <w:b/>
          <w:color w:val="000000" w:themeColor="text1"/>
          <w:sz w:val="52"/>
          <w:szCs w:val="52"/>
        </w:rPr>
        <w:t>O</w:t>
      </w:r>
      <w:r>
        <w:rPr>
          <w:rFonts w:ascii="Times New Roman" w:hAnsi="Times New Roman"/>
          <w:b/>
          <w:color w:val="000000" w:themeColor="text1"/>
          <w:sz w:val="52"/>
          <w:szCs w:val="52"/>
        </w:rPr>
        <w:t>ffice</w:t>
      </w:r>
      <w:r>
        <w:rPr>
          <w:rFonts w:ascii="Times New Roman" w:hAnsi="宋体"/>
          <w:color w:val="000000" w:themeColor="text1"/>
          <w:kern w:val="10"/>
          <w:sz w:val="36"/>
        </w:rPr>
        <w:t>━━━━━━━━━━━━━━━━━━━━━━━</w:t>
      </w:r>
    </w:p>
    <w:p>
      <w:pPr>
        <w:pStyle w:val="29"/>
        <w:spacing w:line="500" w:lineRule="exact"/>
        <w:jc w:val="center"/>
        <w:rPr>
          <w:rFonts w:hint="default"/>
          <w:b/>
          <w:color w:val="000000" w:themeColor="text1"/>
          <w:sz w:val="36"/>
          <w:szCs w:val="36"/>
        </w:rPr>
      </w:pPr>
      <w:r>
        <w:rPr>
          <w:b/>
          <w:color w:val="000000" w:themeColor="text1"/>
          <w:sz w:val="36"/>
          <w:szCs w:val="36"/>
        </w:rPr>
        <w:t>天水长城低压电器有限公司拟股权变更涉及其</w:t>
      </w:r>
    </w:p>
    <w:p>
      <w:pPr>
        <w:pStyle w:val="29"/>
        <w:spacing w:line="500" w:lineRule="exact"/>
        <w:jc w:val="center"/>
        <w:rPr>
          <w:rFonts w:hint="default"/>
          <w:b/>
          <w:color w:val="000000" w:themeColor="text1"/>
          <w:sz w:val="36"/>
          <w:szCs w:val="36"/>
        </w:rPr>
      </w:pPr>
      <w:r>
        <w:rPr>
          <w:b/>
          <w:color w:val="000000" w:themeColor="text1"/>
          <w:sz w:val="36"/>
          <w:szCs w:val="36"/>
        </w:rPr>
        <w:t>股东全部权益价值评估项目</w:t>
      </w:r>
    </w:p>
    <w:p>
      <w:pPr>
        <w:pStyle w:val="3"/>
        <w:adjustRightInd/>
        <w:spacing w:before="0" w:after="0" w:line="480" w:lineRule="exact"/>
        <w:ind w:firstLine="0"/>
        <w:jc w:val="center"/>
        <w:textAlignment w:val="auto"/>
        <w:rPr>
          <w:rFonts w:ascii="Times New Roman" w:hAnsi="Times New Roman" w:eastAsia="宋体"/>
          <w:b w:val="0"/>
          <w:color w:val="000000" w:themeColor="text1"/>
          <w:spacing w:val="20"/>
          <w:sz w:val="36"/>
          <w:szCs w:val="36"/>
        </w:rPr>
      </w:pPr>
      <w:bookmarkStart w:id="6" w:name="_Toc92353667"/>
      <w:bookmarkStart w:id="7" w:name="_Toc24640719"/>
      <w:r>
        <w:rPr>
          <w:rStyle w:val="51"/>
          <w:rFonts w:ascii="Times New Roman" w:hAnsi="Times New Roman" w:eastAsia="宋体"/>
          <w:b/>
          <w:color w:val="000000" w:themeColor="text1"/>
          <w:szCs w:val="36"/>
        </w:rPr>
        <w:t>评估报告</w:t>
      </w:r>
      <w:r>
        <w:rPr>
          <w:rStyle w:val="51"/>
          <w:rFonts w:hint="eastAsia" w:ascii="Times New Roman" w:hAnsi="Times New Roman" w:eastAsia="宋体"/>
          <w:b/>
          <w:color w:val="000000" w:themeColor="text1"/>
          <w:szCs w:val="36"/>
        </w:rPr>
        <w:t>正文</w:t>
      </w:r>
      <w:bookmarkEnd w:id="6"/>
      <w:bookmarkEnd w:id="7"/>
    </w:p>
    <w:p>
      <w:pPr>
        <w:pStyle w:val="29"/>
        <w:spacing w:before="0" w:beforeAutospacing="0" w:after="0" w:afterAutospacing="0" w:line="280" w:lineRule="exact"/>
        <w:jc w:val="center"/>
        <w:rPr>
          <w:rFonts w:hint="default" w:cs="Times New Roman"/>
          <w:b/>
        </w:rPr>
      </w:pPr>
    </w:p>
    <w:p>
      <w:pPr>
        <w:pStyle w:val="29"/>
        <w:spacing w:before="0" w:beforeAutospacing="0" w:after="0" w:afterAutospacing="0" w:line="280" w:lineRule="exact"/>
        <w:jc w:val="center"/>
        <w:rPr>
          <w:rFonts w:hint="default" w:cs="Times New Roman"/>
          <w:b/>
        </w:rPr>
      </w:pPr>
      <w:r>
        <w:rPr>
          <w:rFonts w:cs="Times New Roman"/>
          <w:b/>
        </w:rPr>
        <w:t>甘百诚评报字[2022]0</w:t>
      </w:r>
      <w:r>
        <w:rPr>
          <w:rFonts w:hint="eastAsia" w:cs="Times New Roman"/>
          <w:b/>
          <w:lang w:val="en-US" w:eastAsia="zh-CN"/>
        </w:rPr>
        <w:t>91</w:t>
      </w:r>
      <w:r>
        <w:rPr>
          <w:rFonts w:cs="Times New Roman"/>
          <w:b/>
        </w:rPr>
        <w:t>号</w:t>
      </w:r>
    </w:p>
    <w:p>
      <w:pPr>
        <w:pStyle w:val="29"/>
        <w:spacing w:before="0" w:beforeAutospacing="0" w:after="0" w:afterAutospacing="0" w:line="280" w:lineRule="exact"/>
        <w:jc w:val="center"/>
        <w:rPr>
          <w:rFonts w:hint="default"/>
          <w:color w:val="000000" w:themeColor="text1"/>
        </w:rPr>
      </w:pPr>
    </w:p>
    <w:p>
      <w:pPr>
        <w:pStyle w:val="5"/>
        <w:ind w:firstLine="0"/>
        <w:rPr>
          <w:rFonts w:hAnsi="宋体"/>
          <w:b/>
          <w:color w:val="000000" w:themeColor="text1"/>
          <w:szCs w:val="24"/>
        </w:rPr>
      </w:pPr>
      <w:r>
        <w:rPr>
          <w:rFonts w:hint="eastAsia" w:hAnsi="宋体"/>
          <w:color w:val="000000" w:themeColor="text1"/>
          <w:szCs w:val="24"/>
        </w:rPr>
        <w:t>兰州长城电工股份有限公司：</w:t>
      </w:r>
    </w:p>
    <w:p>
      <w:pPr>
        <w:pStyle w:val="5"/>
        <w:ind w:firstLine="480" w:firstLineChars="200"/>
        <w:rPr>
          <w:color w:val="000000" w:themeColor="text1"/>
        </w:rPr>
      </w:pPr>
      <w:bookmarkStart w:id="8" w:name="_Toc490978137"/>
      <w:bookmarkStart w:id="9" w:name="_Toc403664411"/>
      <w:r>
        <w:rPr>
          <w:rFonts w:hint="eastAsia" w:hAnsi="宋体"/>
          <w:color w:val="000000" w:themeColor="text1"/>
          <w:szCs w:val="24"/>
        </w:rPr>
        <w:t>甘肃百诚资产评估事务所接受贵公司委托，</w:t>
      </w:r>
      <w:r>
        <w:rPr>
          <w:rFonts w:hint="eastAsia" w:hAnsi="宋体" w:cs="宋体"/>
          <w:color w:val="000000" w:themeColor="text1"/>
        </w:rPr>
        <w:t>按照法律、行政法规和资产评估准则的规定，坚持独立、客观和公正的原则，</w:t>
      </w:r>
      <w:r>
        <w:rPr>
          <w:color w:val="000000" w:themeColor="text1"/>
        </w:rPr>
        <w:t>采用资产基础法</w:t>
      </w:r>
      <w:r>
        <w:rPr>
          <w:rFonts w:hint="eastAsia"/>
          <w:color w:val="000000" w:themeColor="text1"/>
        </w:rPr>
        <w:t>，</w:t>
      </w:r>
      <w:r>
        <w:rPr>
          <w:rFonts w:hint="eastAsia" w:hAnsi="宋体" w:cs="宋体"/>
          <w:color w:val="000000" w:themeColor="text1"/>
        </w:rPr>
        <w:t>按照必要的评估程序</w:t>
      </w:r>
      <w:r>
        <w:rPr>
          <w:color w:val="000000" w:themeColor="text1"/>
        </w:rPr>
        <w:t>，对</w:t>
      </w:r>
      <w:r>
        <w:rPr>
          <w:rFonts w:hint="eastAsia"/>
          <w:color w:val="000000" w:themeColor="text1"/>
        </w:rPr>
        <w:t>天水长城低压电器有限公司拟股权变更涉及其股东全部权益价值</w:t>
      </w:r>
      <w:r>
        <w:rPr>
          <w:color w:val="000000" w:themeColor="text1"/>
        </w:rPr>
        <w:t>在2022年9月30日的市场价值</w:t>
      </w:r>
      <w:r>
        <w:rPr>
          <w:rFonts w:hint="eastAsia"/>
          <w:color w:val="000000" w:themeColor="text1"/>
        </w:rPr>
        <w:t>进行了</w:t>
      </w:r>
      <w:r>
        <w:rPr>
          <w:color w:val="000000" w:themeColor="text1"/>
        </w:rPr>
        <w:t>评估。现将资产评估情况报告如下。</w:t>
      </w:r>
    </w:p>
    <w:p>
      <w:pPr>
        <w:pStyle w:val="4"/>
        <w:spacing w:before="0" w:after="100" w:afterAutospacing="1" w:line="600" w:lineRule="exact"/>
        <w:ind w:firstLine="236" w:firstLineChars="98"/>
        <w:rPr>
          <w:color w:val="000000" w:themeColor="text1"/>
          <w:sz w:val="24"/>
          <w:szCs w:val="24"/>
        </w:rPr>
      </w:pPr>
      <w:bookmarkStart w:id="10" w:name="_Toc24640720"/>
      <w:bookmarkStart w:id="11" w:name="_Toc92353668"/>
      <w:r>
        <w:rPr>
          <w:color w:val="000000" w:themeColor="text1"/>
          <w:sz w:val="24"/>
          <w:szCs w:val="24"/>
        </w:rPr>
        <w:t>一、委托人、</w:t>
      </w:r>
      <w:r>
        <w:rPr>
          <w:rFonts w:hint="eastAsia"/>
          <w:color w:val="000000" w:themeColor="text1"/>
          <w:sz w:val="24"/>
          <w:szCs w:val="24"/>
        </w:rPr>
        <w:t>产权持有人</w:t>
      </w:r>
      <w:r>
        <w:rPr>
          <w:color w:val="000000" w:themeColor="text1"/>
          <w:sz w:val="24"/>
          <w:szCs w:val="24"/>
        </w:rPr>
        <w:t>和其他评估报告使用</w:t>
      </w:r>
      <w:r>
        <w:rPr>
          <w:rFonts w:hint="eastAsia"/>
          <w:color w:val="000000" w:themeColor="text1"/>
          <w:sz w:val="24"/>
          <w:szCs w:val="24"/>
        </w:rPr>
        <w:t>人</w:t>
      </w:r>
      <w:r>
        <w:rPr>
          <w:color w:val="000000" w:themeColor="text1"/>
          <w:sz w:val="24"/>
          <w:szCs w:val="24"/>
        </w:rPr>
        <w:t>概况</w:t>
      </w:r>
      <w:bookmarkEnd w:id="10"/>
      <w:bookmarkEnd w:id="11"/>
    </w:p>
    <w:p>
      <w:pPr>
        <w:pStyle w:val="5"/>
        <w:spacing w:before="0" w:after="0"/>
        <w:ind w:firstLine="482"/>
        <w:rPr>
          <w:b/>
          <w:szCs w:val="24"/>
        </w:rPr>
      </w:pPr>
      <w:bookmarkStart w:id="12" w:name="_Toc492260129"/>
      <w:r>
        <w:rPr>
          <w:rFonts w:hint="eastAsia"/>
          <w:b/>
          <w:szCs w:val="24"/>
        </w:rPr>
        <w:t>（一）委托方</w:t>
      </w:r>
    </w:p>
    <w:p>
      <w:pPr>
        <w:pStyle w:val="5"/>
        <w:ind w:firstLine="480" w:firstLineChars="200"/>
        <w:rPr>
          <w:color w:val="000000" w:themeColor="text1"/>
        </w:rPr>
      </w:pPr>
      <w:r>
        <w:rPr>
          <w:rFonts w:hint="eastAsia"/>
          <w:color w:val="000000" w:themeColor="text1"/>
        </w:rPr>
        <w:t>单位名称：兰州长城电工股份有限公司</w:t>
      </w:r>
    </w:p>
    <w:p>
      <w:pPr>
        <w:pStyle w:val="5"/>
        <w:ind w:firstLine="480" w:firstLineChars="200"/>
        <w:rPr>
          <w:color w:val="000000" w:themeColor="text1"/>
        </w:rPr>
      </w:pPr>
      <w:r>
        <w:rPr>
          <w:rFonts w:hint="eastAsia"/>
          <w:color w:val="000000" w:themeColor="text1"/>
        </w:rPr>
        <w:t>营业执照统一社会信用代码：</w:t>
      </w:r>
      <w:r>
        <w:rPr>
          <w:color w:val="000000" w:themeColor="text1"/>
        </w:rPr>
        <w:t>91620000710371367P</w:t>
      </w:r>
    </w:p>
    <w:p>
      <w:pPr>
        <w:pStyle w:val="5"/>
        <w:ind w:firstLine="480" w:firstLineChars="200"/>
        <w:rPr>
          <w:color w:val="000000" w:themeColor="text1"/>
        </w:rPr>
      </w:pPr>
      <w:r>
        <w:rPr>
          <w:rFonts w:hint="eastAsia"/>
          <w:color w:val="000000" w:themeColor="text1"/>
        </w:rPr>
        <w:t>法定代表人：张志明</w:t>
      </w:r>
    </w:p>
    <w:p>
      <w:pPr>
        <w:pStyle w:val="5"/>
        <w:ind w:firstLine="480" w:firstLineChars="200"/>
        <w:rPr>
          <w:color w:val="000000" w:themeColor="text1"/>
        </w:rPr>
      </w:pPr>
      <w:r>
        <w:rPr>
          <w:rFonts w:hint="eastAsia"/>
          <w:color w:val="000000" w:themeColor="text1"/>
        </w:rPr>
        <w:t>企业类型：股份有限公司（上市、国有控股）</w:t>
      </w:r>
    </w:p>
    <w:p>
      <w:pPr>
        <w:pStyle w:val="5"/>
        <w:ind w:firstLine="480" w:firstLineChars="200"/>
        <w:rPr>
          <w:color w:val="000000" w:themeColor="text1"/>
        </w:rPr>
      </w:pPr>
      <w:r>
        <w:rPr>
          <w:rFonts w:hint="eastAsia"/>
          <w:color w:val="000000" w:themeColor="text1"/>
        </w:rPr>
        <w:t>成立日期：1998年12月10日</w:t>
      </w:r>
    </w:p>
    <w:p>
      <w:pPr>
        <w:pStyle w:val="5"/>
        <w:ind w:firstLine="480" w:firstLineChars="200"/>
        <w:rPr>
          <w:color w:val="000000" w:themeColor="text1"/>
        </w:rPr>
      </w:pPr>
      <w:r>
        <w:rPr>
          <w:rFonts w:hint="eastAsia"/>
          <w:color w:val="000000" w:themeColor="text1"/>
        </w:rPr>
        <w:t>注册资本：44174.8万元人民币</w:t>
      </w:r>
    </w:p>
    <w:p>
      <w:pPr>
        <w:pStyle w:val="5"/>
        <w:ind w:firstLine="480" w:firstLineChars="200"/>
        <w:rPr>
          <w:color w:val="000000" w:themeColor="text1"/>
        </w:rPr>
      </w:pPr>
      <w:r>
        <w:rPr>
          <w:rFonts w:hint="eastAsia"/>
          <w:color w:val="000000" w:themeColor="text1"/>
        </w:rPr>
        <w:t>注册地址：甘肃省兰州市城关区农民巷215号</w:t>
      </w:r>
    </w:p>
    <w:p>
      <w:pPr>
        <w:pStyle w:val="5"/>
        <w:ind w:firstLine="480" w:firstLineChars="200"/>
        <w:rPr>
          <w:color w:val="000000" w:themeColor="text1"/>
        </w:rPr>
      </w:pPr>
      <w:r>
        <w:rPr>
          <w:rFonts w:hint="eastAsia"/>
          <w:color w:val="000000" w:themeColor="text1"/>
        </w:rPr>
        <w:t>经营范围：电力资源开发；发电、输电、变电、配电和用电系统及设备，电气传动及工业电气自动化系统及设备，海洋工程系统及设备，高端装备智能制造系统及设备，新能源汽车一体化系统及设备，轨道交通及铁路电气化设备，储能设备，工业控制设备，电子通信设备，人工智能系统，智能机器人，智能仪器仪表，智能元器件、舞台装备，除雪车装置，电机，新材料等的研究、设计、制造、销售、服务和运维；货物及技术进出口业务（国家法律法规规定应经审批方可经营或禁止进出口的货物和技术除外）；工程技术咨询服务；电力、机电工程总承包；电力工程设计；计算机技术服务；电子商务。（依法须经批准的项目，经相关部门批准后方可开展经营）</w:t>
      </w:r>
    </w:p>
    <w:p>
      <w:pPr>
        <w:pStyle w:val="5"/>
        <w:ind w:firstLine="482" w:firstLineChars="200"/>
        <w:rPr>
          <w:b/>
          <w:szCs w:val="24"/>
        </w:rPr>
      </w:pPr>
      <w:r>
        <w:rPr>
          <w:rFonts w:hint="eastAsia"/>
          <w:b/>
          <w:szCs w:val="24"/>
        </w:rPr>
        <w:t>（二）产权持有人</w:t>
      </w:r>
    </w:p>
    <w:p>
      <w:pPr>
        <w:pStyle w:val="5"/>
        <w:ind w:firstLine="480" w:firstLineChars="200"/>
        <w:rPr>
          <w:color w:val="000000" w:themeColor="text1"/>
        </w:rPr>
      </w:pPr>
      <w:r>
        <w:rPr>
          <w:rFonts w:hint="eastAsia"/>
          <w:color w:val="000000" w:themeColor="text1"/>
        </w:rPr>
        <w:t>单位名称：天水长城低压电器有限公司</w:t>
      </w:r>
    </w:p>
    <w:p>
      <w:pPr>
        <w:pStyle w:val="5"/>
        <w:ind w:firstLine="480" w:firstLineChars="200"/>
        <w:rPr>
          <w:color w:val="000000" w:themeColor="text1"/>
        </w:rPr>
      </w:pPr>
      <w:r>
        <w:rPr>
          <w:rFonts w:hint="eastAsia"/>
          <w:color w:val="000000" w:themeColor="text1"/>
        </w:rPr>
        <w:t>营业执照统一社会信用代码：</w:t>
      </w:r>
      <w:r>
        <w:rPr>
          <w:color w:val="000000" w:themeColor="text1"/>
        </w:rPr>
        <w:t>916205007127027219</w:t>
      </w:r>
    </w:p>
    <w:p>
      <w:pPr>
        <w:pStyle w:val="5"/>
        <w:ind w:firstLine="480" w:firstLineChars="200"/>
        <w:rPr>
          <w:color w:val="000000" w:themeColor="text1"/>
        </w:rPr>
      </w:pPr>
      <w:r>
        <w:rPr>
          <w:rFonts w:hint="eastAsia"/>
          <w:color w:val="000000" w:themeColor="text1"/>
        </w:rPr>
        <w:t>法定代表人：周建中</w:t>
      </w:r>
    </w:p>
    <w:p>
      <w:pPr>
        <w:pStyle w:val="5"/>
        <w:ind w:firstLine="480" w:firstLineChars="200"/>
        <w:rPr>
          <w:color w:val="000000" w:themeColor="text1"/>
        </w:rPr>
      </w:pPr>
      <w:r>
        <w:rPr>
          <w:rFonts w:hint="eastAsia"/>
          <w:color w:val="000000" w:themeColor="text1"/>
        </w:rPr>
        <w:t>企业类型：有限责任公司</w:t>
      </w:r>
    </w:p>
    <w:p>
      <w:pPr>
        <w:pStyle w:val="5"/>
        <w:ind w:firstLine="480" w:firstLineChars="200"/>
        <w:rPr>
          <w:color w:val="000000" w:themeColor="text1"/>
        </w:rPr>
      </w:pPr>
      <w:r>
        <w:rPr>
          <w:rFonts w:hint="eastAsia"/>
          <w:color w:val="000000" w:themeColor="text1"/>
        </w:rPr>
        <w:t>成立日期：1999年8月25日</w:t>
      </w:r>
    </w:p>
    <w:p>
      <w:pPr>
        <w:pStyle w:val="5"/>
        <w:ind w:firstLine="480" w:firstLineChars="200"/>
        <w:rPr>
          <w:color w:val="000000" w:themeColor="text1"/>
        </w:rPr>
      </w:pPr>
      <w:r>
        <w:rPr>
          <w:rFonts w:hint="eastAsia"/>
          <w:color w:val="000000" w:themeColor="text1"/>
        </w:rPr>
        <w:t>注册资本：1000万元人民币</w:t>
      </w:r>
    </w:p>
    <w:p>
      <w:pPr>
        <w:pStyle w:val="5"/>
        <w:ind w:firstLine="480" w:firstLineChars="200"/>
        <w:rPr>
          <w:color w:val="000000" w:themeColor="text1"/>
        </w:rPr>
      </w:pPr>
      <w:r>
        <w:rPr>
          <w:rFonts w:hint="eastAsia"/>
          <w:color w:val="000000" w:themeColor="text1"/>
        </w:rPr>
        <w:t>注册地址：甘肃省天水市秦州区长开路41号</w:t>
      </w:r>
    </w:p>
    <w:p>
      <w:pPr>
        <w:pStyle w:val="5"/>
        <w:ind w:firstLine="480" w:firstLineChars="200"/>
        <w:rPr>
          <w:color w:val="000000" w:themeColor="text1"/>
        </w:rPr>
      </w:pPr>
      <w:r>
        <w:rPr>
          <w:rFonts w:hint="eastAsia"/>
          <w:color w:val="000000" w:themeColor="text1"/>
        </w:rPr>
        <w:t>经营范围：高低压电器元件、电气成套装置。</w:t>
      </w:r>
    </w:p>
    <w:p>
      <w:pPr>
        <w:pStyle w:val="5"/>
        <w:ind w:firstLine="482" w:firstLineChars="200"/>
        <w:rPr>
          <w:b/>
          <w:color w:val="000000" w:themeColor="text1"/>
          <w:szCs w:val="24"/>
        </w:rPr>
      </w:pPr>
      <w:r>
        <w:rPr>
          <w:b/>
          <w:color w:val="000000" w:themeColor="text1"/>
          <w:szCs w:val="24"/>
        </w:rPr>
        <w:t>（</w:t>
      </w:r>
      <w:r>
        <w:rPr>
          <w:rFonts w:hint="eastAsia"/>
          <w:b/>
          <w:color w:val="000000" w:themeColor="text1"/>
          <w:szCs w:val="24"/>
        </w:rPr>
        <w:t>三</w:t>
      </w:r>
      <w:r>
        <w:rPr>
          <w:b/>
          <w:color w:val="000000" w:themeColor="text1"/>
          <w:szCs w:val="24"/>
        </w:rPr>
        <w:t>）委托合同约定的其他评估报告使用</w:t>
      </w:r>
      <w:r>
        <w:rPr>
          <w:rFonts w:hint="eastAsia"/>
          <w:b/>
          <w:color w:val="000000" w:themeColor="text1"/>
          <w:szCs w:val="24"/>
        </w:rPr>
        <w:t>人</w:t>
      </w:r>
    </w:p>
    <w:p>
      <w:pPr>
        <w:pStyle w:val="5"/>
        <w:rPr>
          <w:color w:val="000000" w:themeColor="text1"/>
          <w:szCs w:val="24"/>
        </w:rPr>
      </w:pPr>
      <w:r>
        <w:rPr>
          <w:rFonts w:hint="eastAsia"/>
          <w:color w:val="000000" w:themeColor="text1"/>
          <w:szCs w:val="24"/>
        </w:rPr>
        <w:t>本评估报告的使用者为委托人、经济行为相关的当事方以及按照国有资产管理相关规定报送备案的相关监管机构。</w:t>
      </w:r>
    </w:p>
    <w:p>
      <w:pPr>
        <w:pStyle w:val="5"/>
        <w:rPr>
          <w:color w:val="000000" w:themeColor="text1"/>
          <w:szCs w:val="24"/>
        </w:rPr>
      </w:pPr>
      <w:r>
        <w:rPr>
          <w:rFonts w:hint="eastAsia"/>
          <w:color w:val="000000" w:themeColor="text1"/>
          <w:szCs w:val="24"/>
        </w:rPr>
        <w:t>除国家法律法规另有规定外，任何未经评估机构和委托人确认的机构或个人不能由于得到评估报告而成为评估报告使用者。</w:t>
      </w:r>
    </w:p>
    <w:p>
      <w:pPr>
        <w:pStyle w:val="4"/>
        <w:spacing w:before="0" w:after="100" w:afterAutospacing="1" w:line="600" w:lineRule="exact"/>
        <w:rPr>
          <w:color w:val="000000" w:themeColor="text1"/>
          <w:sz w:val="24"/>
          <w:szCs w:val="24"/>
        </w:rPr>
      </w:pPr>
      <w:bookmarkStart w:id="13" w:name="_Toc92353669"/>
      <w:bookmarkStart w:id="14" w:name="_Toc24640721"/>
      <w:r>
        <w:rPr>
          <w:color w:val="000000" w:themeColor="text1"/>
          <w:sz w:val="24"/>
          <w:szCs w:val="24"/>
        </w:rPr>
        <w:t>二、评估目的</w:t>
      </w:r>
      <w:bookmarkEnd w:id="12"/>
      <w:bookmarkEnd w:id="13"/>
      <w:bookmarkEnd w:id="14"/>
    </w:p>
    <w:p>
      <w:pPr>
        <w:pStyle w:val="5"/>
        <w:ind w:firstLine="480" w:firstLineChars="200"/>
        <w:rPr>
          <w:color w:val="000000" w:themeColor="text1"/>
          <w:szCs w:val="24"/>
        </w:rPr>
      </w:pPr>
      <w:bookmarkStart w:id="15" w:name="_Toc492260130"/>
      <w:r>
        <w:rPr>
          <w:color w:val="000000" w:themeColor="text1"/>
          <w:szCs w:val="24"/>
        </w:rPr>
        <w:t>根据</w:t>
      </w:r>
      <w:r>
        <w:rPr>
          <w:rFonts w:hint="eastAsia" w:hAnsi="宋体"/>
          <w:color w:val="000000" w:themeColor="text1"/>
          <w:szCs w:val="24"/>
        </w:rPr>
        <w:t>委托</w:t>
      </w:r>
      <w:r>
        <w:rPr>
          <w:color w:val="000000" w:themeColor="text1"/>
          <w:szCs w:val="24"/>
        </w:rPr>
        <w:t>，</w:t>
      </w:r>
      <w:r>
        <w:rPr>
          <w:rFonts w:hint="eastAsia"/>
          <w:color w:val="000000" w:themeColor="text1"/>
        </w:rPr>
        <w:t>天水长城低压电器有限公司拟股权变更，</w:t>
      </w:r>
      <w:r>
        <w:rPr>
          <w:color w:val="000000" w:themeColor="text1"/>
          <w:szCs w:val="24"/>
        </w:rPr>
        <w:t>需对</w:t>
      </w:r>
      <w:r>
        <w:rPr>
          <w:rFonts w:hint="eastAsia"/>
          <w:color w:val="000000" w:themeColor="text1"/>
          <w:szCs w:val="24"/>
        </w:rPr>
        <w:t>其</w:t>
      </w:r>
      <w:r>
        <w:rPr>
          <w:color w:val="000000" w:themeColor="text1"/>
          <w:szCs w:val="24"/>
        </w:rPr>
        <w:t>股东全部权益价值进行评估，为该经济行为提供价值参考</w:t>
      </w:r>
      <w:r>
        <w:rPr>
          <w:rFonts w:hint="eastAsia"/>
          <w:color w:val="000000" w:themeColor="text1"/>
          <w:szCs w:val="24"/>
        </w:rPr>
        <w:t>意见</w:t>
      </w:r>
      <w:r>
        <w:rPr>
          <w:color w:val="000000" w:themeColor="text1"/>
          <w:szCs w:val="24"/>
        </w:rPr>
        <w:t>。</w:t>
      </w:r>
    </w:p>
    <w:p>
      <w:pPr>
        <w:pStyle w:val="4"/>
        <w:spacing w:before="0" w:after="100" w:afterAutospacing="1" w:line="600" w:lineRule="exact"/>
        <w:rPr>
          <w:color w:val="000000" w:themeColor="text1"/>
          <w:sz w:val="24"/>
          <w:szCs w:val="24"/>
        </w:rPr>
      </w:pPr>
      <w:bookmarkStart w:id="16" w:name="_Toc24640722"/>
      <w:bookmarkStart w:id="17" w:name="_Toc92353670"/>
      <w:r>
        <w:rPr>
          <w:color w:val="000000" w:themeColor="text1"/>
          <w:sz w:val="24"/>
          <w:szCs w:val="24"/>
        </w:rPr>
        <w:t>三、评估对象和评估范围</w:t>
      </w:r>
      <w:bookmarkEnd w:id="15"/>
      <w:bookmarkEnd w:id="16"/>
      <w:bookmarkEnd w:id="17"/>
    </w:p>
    <w:p>
      <w:pPr>
        <w:pStyle w:val="5"/>
        <w:rPr>
          <w:b/>
          <w:bCs/>
          <w:color w:val="000000" w:themeColor="text1"/>
          <w:szCs w:val="24"/>
        </w:rPr>
      </w:pPr>
      <w:r>
        <w:rPr>
          <w:rFonts w:hint="eastAsia"/>
          <w:b/>
          <w:bCs/>
          <w:color w:val="000000" w:themeColor="text1"/>
          <w:szCs w:val="24"/>
        </w:rPr>
        <w:t>（一）评估对象</w:t>
      </w:r>
    </w:p>
    <w:p>
      <w:pPr>
        <w:pStyle w:val="5"/>
        <w:rPr>
          <w:color w:val="000000" w:themeColor="text1"/>
          <w:szCs w:val="24"/>
        </w:rPr>
      </w:pPr>
      <w:r>
        <w:rPr>
          <w:color w:val="000000" w:themeColor="text1"/>
          <w:szCs w:val="24"/>
        </w:rPr>
        <w:t>评估对象为</w:t>
      </w:r>
      <w:r>
        <w:rPr>
          <w:rFonts w:hint="eastAsia"/>
          <w:color w:val="000000" w:themeColor="text1"/>
          <w:szCs w:val="24"/>
        </w:rPr>
        <w:t>天水长城低压电器有限公司</w:t>
      </w:r>
      <w:r>
        <w:rPr>
          <w:color w:val="000000" w:themeColor="text1"/>
          <w:szCs w:val="24"/>
        </w:rPr>
        <w:t>的股东全部权益价值。</w:t>
      </w:r>
    </w:p>
    <w:p>
      <w:pPr>
        <w:pStyle w:val="5"/>
        <w:rPr>
          <w:b/>
          <w:bCs/>
          <w:color w:val="000000" w:themeColor="text1"/>
          <w:szCs w:val="24"/>
        </w:rPr>
      </w:pPr>
      <w:r>
        <w:rPr>
          <w:rFonts w:hint="eastAsia"/>
          <w:b/>
          <w:bCs/>
          <w:color w:val="000000" w:themeColor="text1"/>
          <w:szCs w:val="24"/>
        </w:rPr>
        <w:t>（二）评估范围</w:t>
      </w:r>
    </w:p>
    <w:p>
      <w:pPr>
        <w:ind w:firstLine="480" w:firstLineChars="200"/>
        <w:jc w:val="left"/>
        <w:rPr>
          <w:color w:val="000000" w:themeColor="text1"/>
          <w:szCs w:val="24"/>
        </w:rPr>
      </w:pPr>
      <w:r>
        <w:rPr>
          <w:color w:val="000000" w:themeColor="text1"/>
          <w:szCs w:val="24"/>
        </w:rPr>
        <w:t>评估范围为</w:t>
      </w:r>
      <w:r>
        <w:rPr>
          <w:rFonts w:hint="eastAsia"/>
          <w:color w:val="000000" w:themeColor="text1"/>
          <w:szCs w:val="24"/>
        </w:rPr>
        <w:t>天水长城低压电器有限公司</w:t>
      </w:r>
      <w:r>
        <w:rPr>
          <w:color w:val="000000" w:themeColor="text1"/>
          <w:szCs w:val="24"/>
        </w:rPr>
        <w:t>于评估基准日的全部资产及负债，其中</w:t>
      </w:r>
      <w:bookmarkStart w:id="18" w:name="_Hlk83496120"/>
      <w:r>
        <w:rPr>
          <w:color w:val="000000" w:themeColor="text1"/>
          <w:szCs w:val="24"/>
        </w:rPr>
        <w:t>总资产账面价值</w:t>
      </w:r>
      <w:r>
        <w:rPr>
          <w:rFonts w:hAnsi="宋体"/>
          <w:bCs/>
          <w:color w:val="000000"/>
          <w:kern w:val="0"/>
          <w:szCs w:val="24"/>
        </w:rPr>
        <w:t>5,578.86</w:t>
      </w:r>
      <w:r>
        <w:rPr>
          <w:rFonts w:hint="eastAsia"/>
          <w:color w:val="000000" w:themeColor="text1"/>
          <w:szCs w:val="24"/>
        </w:rPr>
        <w:t>元</w:t>
      </w:r>
      <w:r>
        <w:rPr>
          <w:color w:val="000000" w:themeColor="text1"/>
          <w:szCs w:val="24"/>
        </w:rPr>
        <w:t>，</w:t>
      </w:r>
      <w:r>
        <w:rPr>
          <w:rFonts w:hint="eastAsia"/>
          <w:color w:val="000000" w:themeColor="text1"/>
          <w:szCs w:val="24"/>
        </w:rPr>
        <w:t>负债</w:t>
      </w:r>
      <w:r>
        <w:rPr>
          <w:color w:val="000000" w:themeColor="text1"/>
          <w:szCs w:val="24"/>
        </w:rPr>
        <w:t>账面值</w:t>
      </w:r>
      <w:r>
        <w:rPr>
          <w:rFonts w:hAnsi="宋体"/>
          <w:bCs/>
          <w:color w:val="000000"/>
          <w:kern w:val="0"/>
          <w:szCs w:val="24"/>
        </w:rPr>
        <w:t>2,000.00</w:t>
      </w:r>
      <w:r>
        <w:rPr>
          <w:rFonts w:hint="eastAsia"/>
          <w:color w:val="000000" w:themeColor="text1"/>
          <w:szCs w:val="24"/>
        </w:rPr>
        <w:t>元</w:t>
      </w:r>
      <w:r>
        <w:rPr>
          <w:color w:val="000000" w:themeColor="text1"/>
          <w:szCs w:val="24"/>
        </w:rPr>
        <w:t>，净资产账面价值</w:t>
      </w:r>
      <w:r>
        <w:rPr>
          <w:rFonts w:hAnsi="宋体"/>
          <w:bCs/>
          <w:color w:val="000000"/>
          <w:kern w:val="0"/>
          <w:szCs w:val="24"/>
        </w:rPr>
        <w:t>3,578.86</w:t>
      </w:r>
      <w:r>
        <w:rPr>
          <w:rFonts w:hint="eastAsia"/>
          <w:color w:val="000000" w:themeColor="text1"/>
          <w:szCs w:val="24"/>
        </w:rPr>
        <w:t>元</w:t>
      </w:r>
      <w:bookmarkEnd w:id="18"/>
      <w:r>
        <w:rPr>
          <w:color w:val="000000" w:themeColor="text1"/>
          <w:szCs w:val="24"/>
        </w:rPr>
        <w:t>。各类资产及负债的账面价值见下表：</w:t>
      </w:r>
    </w:p>
    <w:p>
      <w:pPr>
        <w:pStyle w:val="5"/>
        <w:ind w:firstLine="480"/>
        <w:jc w:val="center"/>
        <w:rPr>
          <w:color w:val="000000" w:themeColor="text1"/>
          <w:szCs w:val="24"/>
        </w:rPr>
      </w:pPr>
      <w:r>
        <w:rPr>
          <w:color w:val="000000" w:themeColor="text1"/>
          <w:szCs w:val="24"/>
        </w:rPr>
        <w:t>资产评估申报汇总表</w:t>
      </w:r>
    </w:p>
    <w:p>
      <w:pPr>
        <w:pStyle w:val="5"/>
        <w:ind w:firstLine="480"/>
        <w:jc w:val="right"/>
        <w:rPr>
          <w:color w:val="000000" w:themeColor="text1"/>
        </w:rPr>
      </w:pPr>
      <w:r>
        <w:rPr>
          <w:color w:val="000000" w:themeColor="text1"/>
        </w:rPr>
        <w:t>金额单位：人民币元</w:t>
      </w:r>
    </w:p>
    <w:tbl>
      <w:tblPr>
        <w:tblStyle w:val="31"/>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360"/>
        <w:gridCol w:w="43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center"/>
              <w:rPr>
                <w:b/>
                <w:color w:val="000000"/>
                <w:sz w:val="20"/>
              </w:rPr>
            </w:pPr>
            <w:r>
              <w:rPr>
                <w:b/>
                <w:color w:val="000000"/>
                <w:sz w:val="20"/>
              </w:rPr>
              <w:t>项目名称</w:t>
            </w:r>
          </w:p>
        </w:tc>
        <w:tc>
          <w:tcPr>
            <w:tcW w:w="2500" w:type="pct"/>
          </w:tcPr>
          <w:p>
            <w:pPr>
              <w:pStyle w:val="5"/>
              <w:ind w:firstLine="402"/>
              <w:jc w:val="center"/>
              <w:rPr>
                <w:b/>
                <w:color w:val="000000"/>
                <w:sz w:val="20"/>
              </w:rPr>
            </w:pPr>
            <w:r>
              <w:rPr>
                <w:b/>
                <w:color w:val="000000"/>
                <w:sz w:val="20"/>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"'2-分类汇总'!B6" </w:instrText>
            </w:r>
            <w:r>
              <w:fldChar w:fldCharType="separate"/>
            </w:r>
            <w:r>
              <w:rPr>
                <w:color w:val="000000"/>
                <w:sz w:val="20"/>
              </w:rPr>
              <w:t>流动资产</w:t>
            </w:r>
            <w:r>
              <w:rPr>
                <w:color w:val="000000"/>
                <w:sz w:val="20"/>
              </w:rPr>
              <w:fldChar w:fldCharType="end"/>
            </w:r>
          </w:p>
        </w:tc>
        <w:tc>
          <w:tcPr>
            <w:tcW w:w="2500" w:type="pct"/>
          </w:tcPr>
          <w:p>
            <w:pPr>
              <w:pStyle w:val="5"/>
              <w:ind w:firstLine="402"/>
              <w:jc w:val="right"/>
              <w:rPr>
                <w:color w:val="000000"/>
                <w:sz w:val="20"/>
              </w:rPr>
            </w:pPr>
            <w:r>
              <w:rPr>
                <w:color w:val="000000"/>
                <w:sz w:val="20"/>
              </w:rPr>
              <w:t>5,578.86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"'2-分类汇总'!B19" </w:instrText>
            </w:r>
            <w:r>
              <w:fldChar w:fldCharType="separate"/>
            </w:r>
            <w:r>
              <w:rPr>
                <w:color w:val="000000"/>
                <w:sz w:val="20"/>
              </w:rPr>
              <w:t>非流动资产</w:t>
            </w:r>
            <w:r>
              <w:rPr>
                <w:color w:val="000000"/>
                <w:sz w:val="20"/>
              </w:rPr>
              <w:fldChar w:fldCharType="end"/>
            </w:r>
          </w:p>
        </w:tc>
        <w:tc>
          <w:tcPr>
            <w:tcW w:w="2500" w:type="pct"/>
          </w:tcPr>
          <w:p>
            <w:pPr>
              <w:pStyle w:val="5"/>
              <w:ind w:firstLine="402"/>
              <w:jc w:val="right"/>
              <w:rPr>
                <w:b/>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"'2-分类汇总'!B23" </w:instrText>
            </w:r>
            <w:r>
              <w:fldChar w:fldCharType="separate"/>
            </w:r>
            <w:r>
              <w:rPr>
                <w:color w:val="000000"/>
                <w:sz w:val="20"/>
              </w:rPr>
              <w:t>其中：长期股权投资</w:t>
            </w:r>
            <w:r>
              <w:rPr>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"'2-分类汇总'!B24" </w:instrText>
            </w:r>
            <w:r>
              <w:fldChar w:fldCharType="separate"/>
            </w:r>
            <w:r>
              <w:rPr>
                <w:color w:val="000000"/>
                <w:sz w:val="20"/>
              </w:rPr>
              <w:t>投资性房地产</w:t>
            </w:r>
            <w:r>
              <w:rPr>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"'2-分类汇总'!B25" </w:instrText>
            </w:r>
            <w:r>
              <w:fldChar w:fldCharType="separate"/>
            </w:r>
            <w:r>
              <w:rPr>
                <w:color w:val="000000"/>
                <w:sz w:val="20"/>
              </w:rPr>
              <w:t>固定资产</w:t>
            </w:r>
            <w:r>
              <w:rPr>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"'2-分类汇总'!B26" </w:instrText>
            </w:r>
            <w:r>
              <w:fldChar w:fldCharType="separate"/>
            </w:r>
            <w:r>
              <w:rPr>
                <w:color w:val="000000"/>
                <w:sz w:val="20"/>
              </w:rPr>
              <w:t>在建工程</w:t>
            </w:r>
            <w:r>
              <w:rPr>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"'2-分类汇总'!B36" </w:instrText>
            </w:r>
            <w:r>
              <w:fldChar w:fldCharType="separate"/>
            </w:r>
            <w:r>
              <w:rPr>
                <w:rFonts w:hint="eastAsia"/>
                <w:color w:val="000000"/>
                <w:sz w:val="20"/>
              </w:rPr>
              <w:t>递延所得税资产</w:t>
            </w:r>
            <w:r>
              <w:rPr>
                <w:rFonts w:hint="eastAsia"/>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"'2-分类汇总'!B38" </w:instrText>
            </w:r>
            <w:r>
              <w:fldChar w:fldCharType="separate"/>
            </w:r>
            <w:r>
              <w:rPr>
                <w:color w:val="000000"/>
                <w:sz w:val="20"/>
              </w:rPr>
              <w:t>资产总计</w:t>
            </w:r>
            <w:r>
              <w:rPr>
                <w:color w:val="000000"/>
                <w:sz w:val="20"/>
              </w:rPr>
              <w:fldChar w:fldCharType="end"/>
            </w:r>
          </w:p>
        </w:tc>
        <w:tc>
          <w:tcPr>
            <w:tcW w:w="2500" w:type="pct"/>
          </w:tcPr>
          <w:p>
            <w:pPr>
              <w:pStyle w:val="5"/>
              <w:ind w:firstLine="402"/>
              <w:jc w:val="right"/>
              <w:rPr>
                <w:b/>
                <w:color w:val="000000"/>
                <w:sz w:val="20"/>
              </w:rPr>
            </w:pPr>
            <w:r>
              <w:rPr>
                <w:b/>
                <w:color w:val="000000"/>
                <w:sz w:val="20"/>
              </w:rPr>
              <w:t>5,578.86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"'2-分类汇总'!B39" </w:instrText>
            </w:r>
            <w:r>
              <w:fldChar w:fldCharType="separate"/>
            </w:r>
            <w:r>
              <w:rPr>
                <w:color w:val="000000"/>
                <w:sz w:val="20"/>
              </w:rPr>
              <w:t>流动负债</w:t>
            </w:r>
            <w:r>
              <w:rPr>
                <w:color w:val="000000"/>
                <w:sz w:val="20"/>
              </w:rPr>
              <w:fldChar w:fldCharType="end"/>
            </w:r>
          </w:p>
        </w:tc>
        <w:tc>
          <w:tcPr>
            <w:tcW w:w="2500" w:type="pct"/>
          </w:tcPr>
          <w:p>
            <w:pPr>
              <w:pStyle w:val="5"/>
              <w:ind w:firstLine="402"/>
              <w:jc w:val="right"/>
              <w:rPr>
                <w:color w:val="000000"/>
                <w:sz w:val="20"/>
              </w:rPr>
            </w:pPr>
            <w:r>
              <w:rPr>
                <w:color w:val="000000"/>
                <w:sz w:val="20"/>
              </w:rPr>
              <w:t>2,000.00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"'2-分类汇总'!B53" </w:instrText>
            </w:r>
            <w:r>
              <w:fldChar w:fldCharType="separate"/>
            </w:r>
            <w:r>
              <w:rPr>
                <w:color w:val="000000"/>
                <w:sz w:val="20"/>
              </w:rPr>
              <w:t>非流动负债</w:t>
            </w:r>
            <w:r>
              <w:rPr>
                <w:color w:val="000000"/>
                <w:sz w:val="20"/>
              </w:rPr>
              <w:fldChar w:fldCharType="end"/>
            </w:r>
          </w:p>
        </w:tc>
        <w:tc>
          <w:tcPr>
            <w:tcW w:w="2500" w:type="pct"/>
          </w:tcPr>
          <w:p>
            <w:pPr>
              <w:pStyle w:val="5"/>
              <w:ind w:firstLine="402"/>
              <w:jc w:val="right"/>
              <w:rPr>
                <w:color w:val="000000"/>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"'2-分类汇总'!B62" </w:instrText>
            </w:r>
            <w:r>
              <w:fldChar w:fldCharType="separate"/>
            </w:r>
            <w:r>
              <w:rPr>
                <w:color w:val="000000"/>
                <w:sz w:val="20"/>
              </w:rPr>
              <w:t>负债合计</w:t>
            </w:r>
            <w:r>
              <w:rPr>
                <w:color w:val="000000"/>
                <w:sz w:val="20"/>
              </w:rPr>
              <w:fldChar w:fldCharType="end"/>
            </w:r>
          </w:p>
        </w:tc>
        <w:tc>
          <w:tcPr>
            <w:tcW w:w="2500" w:type="pct"/>
          </w:tcPr>
          <w:p>
            <w:pPr>
              <w:pStyle w:val="5"/>
              <w:ind w:firstLine="402"/>
              <w:jc w:val="right"/>
              <w:rPr>
                <w:b/>
                <w:color w:val="000000"/>
                <w:sz w:val="20"/>
              </w:rPr>
            </w:pPr>
            <w:r>
              <w:rPr>
                <w:b/>
                <w:color w:val="000000"/>
                <w:sz w:val="20"/>
              </w:rPr>
              <w:t>2,000.00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jc w:val="center"/>
        </w:trPr>
        <w:tc>
          <w:tcPr>
            <w:tcW w:w="2500" w:type="pct"/>
          </w:tcPr>
          <w:p>
            <w:pPr>
              <w:pStyle w:val="5"/>
              <w:ind w:firstLine="402"/>
              <w:jc w:val="left"/>
              <w:rPr>
                <w:color w:val="000000"/>
                <w:sz w:val="20"/>
              </w:rPr>
            </w:pPr>
            <w:r>
              <w:fldChar w:fldCharType="begin"/>
            </w:r>
            <w:r>
              <w:instrText xml:space="preserve"> HYPERLINK "../../../lenovo/AppData/Local/Microsoft/Windows/Temporary%20Internet%20Files/Content.MSO/4A9C293B.xls" \l "'2-分类汇总'!B64" </w:instrText>
            </w:r>
            <w:r>
              <w:fldChar w:fldCharType="separate"/>
            </w:r>
            <w:r>
              <w:rPr>
                <w:color w:val="000000"/>
                <w:sz w:val="20"/>
              </w:rPr>
              <w:t>净资产（所有者权益）</w:t>
            </w:r>
            <w:r>
              <w:rPr>
                <w:color w:val="000000"/>
                <w:sz w:val="20"/>
              </w:rPr>
              <w:fldChar w:fldCharType="end"/>
            </w:r>
          </w:p>
        </w:tc>
        <w:tc>
          <w:tcPr>
            <w:tcW w:w="2500" w:type="pct"/>
          </w:tcPr>
          <w:p>
            <w:pPr>
              <w:pStyle w:val="5"/>
              <w:ind w:firstLine="402"/>
              <w:jc w:val="right"/>
              <w:rPr>
                <w:b/>
                <w:color w:val="000000"/>
                <w:sz w:val="20"/>
              </w:rPr>
            </w:pPr>
            <w:r>
              <w:rPr>
                <w:b/>
                <w:color w:val="000000"/>
                <w:sz w:val="20"/>
              </w:rPr>
              <w:t>3,578.86</w:t>
            </w:r>
          </w:p>
        </w:tc>
      </w:tr>
    </w:tbl>
    <w:p>
      <w:pPr>
        <w:pStyle w:val="5"/>
        <w:spacing w:before="120"/>
        <w:ind w:firstLine="480" w:firstLineChars="200"/>
        <w:rPr>
          <w:color w:val="000000" w:themeColor="text1"/>
        </w:rPr>
      </w:pPr>
      <w:r>
        <w:rPr>
          <w:color w:val="000000" w:themeColor="text1"/>
        </w:rPr>
        <w:t>被评估单位已承诺委托评估对象和评估范围与经济行为所涉及的评估对象和评估范围一致。</w:t>
      </w:r>
    </w:p>
    <w:p>
      <w:pPr>
        <w:pStyle w:val="4"/>
        <w:spacing w:before="0" w:after="100" w:afterAutospacing="1" w:line="600" w:lineRule="exact"/>
        <w:rPr>
          <w:color w:val="000000" w:themeColor="text1"/>
          <w:kern w:val="0"/>
          <w:sz w:val="24"/>
        </w:rPr>
      </w:pPr>
      <w:bookmarkStart w:id="19" w:name="_Toc153011971"/>
      <w:bookmarkStart w:id="20" w:name="_Toc24640723"/>
      <w:bookmarkStart w:id="21" w:name="_Toc92353671"/>
      <w:r>
        <w:rPr>
          <w:color w:val="000000" w:themeColor="text1"/>
          <w:kern w:val="0"/>
          <w:sz w:val="24"/>
        </w:rPr>
        <w:t>四、价值类型及其定义</w:t>
      </w:r>
      <w:bookmarkEnd w:id="19"/>
      <w:bookmarkEnd w:id="20"/>
      <w:bookmarkEnd w:id="21"/>
    </w:p>
    <w:p>
      <w:pPr>
        <w:pStyle w:val="5"/>
        <w:rPr>
          <w:color w:val="000000" w:themeColor="text1"/>
        </w:rPr>
      </w:pPr>
      <w:r>
        <w:rPr>
          <w:color w:val="000000" w:themeColor="text1"/>
        </w:rPr>
        <w:t>本次评估价值类型为市场价值</w:t>
      </w:r>
      <w:r>
        <w:rPr>
          <w:rFonts w:hint="eastAsia"/>
          <w:color w:val="000000" w:themeColor="text1"/>
        </w:rPr>
        <w:t>。</w:t>
      </w:r>
    </w:p>
    <w:p>
      <w:pPr>
        <w:pStyle w:val="5"/>
        <w:rPr>
          <w:color w:val="000000" w:themeColor="text1"/>
        </w:rPr>
      </w:pPr>
      <w:r>
        <w:rPr>
          <w:color w:val="000000" w:themeColor="text1"/>
        </w:rPr>
        <w:t>本报告书所称市场价值是指自愿买方和自愿卖方在各自理性行事且未受任何强迫的情况下，评估对象在评估基准日进行正常公平交易的价值估计数额。</w:t>
      </w:r>
    </w:p>
    <w:p>
      <w:pPr>
        <w:pStyle w:val="4"/>
        <w:spacing w:before="0" w:after="100" w:afterAutospacing="1" w:line="600" w:lineRule="exact"/>
        <w:rPr>
          <w:color w:val="000000" w:themeColor="text1"/>
          <w:sz w:val="24"/>
          <w:szCs w:val="24"/>
        </w:rPr>
      </w:pPr>
      <w:bookmarkStart w:id="22" w:name="_Toc24640724"/>
      <w:bookmarkStart w:id="23" w:name="_Toc92353672"/>
      <w:r>
        <w:rPr>
          <w:color w:val="000000" w:themeColor="text1"/>
          <w:sz w:val="24"/>
          <w:szCs w:val="24"/>
        </w:rPr>
        <w:t>五、评估基准日</w:t>
      </w:r>
      <w:bookmarkEnd w:id="8"/>
      <w:bookmarkEnd w:id="22"/>
      <w:bookmarkEnd w:id="23"/>
    </w:p>
    <w:p>
      <w:pPr>
        <w:pStyle w:val="5"/>
        <w:rPr>
          <w:color w:val="000000" w:themeColor="text1"/>
          <w:szCs w:val="24"/>
        </w:rPr>
      </w:pPr>
      <w:r>
        <w:rPr>
          <w:color w:val="000000" w:themeColor="text1"/>
          <w:szCs w:val="24"/>
        </w:rPr>
        <w:t>评估基准日是2022年9月30日。</w:t>
      </w:r>
    </w:p>
    <w:p>
      <w:pPr>
        <w:pStyle w:val="5"/>
        <w:rPr>
          <w:color w:val="000000" w:themeColor="text1"/>
          <w:szCs w:val="24"/>
        </w:rPr>
      </w:pPr>
      <w:r>
        <w:rPr>
          <w:color w:val="000000" w:themeColor="text1"/>
          <w:szCs w:val="24"/>
        </w:rPr>
        <w:t>评估基准日是由委托人确定的。确定评估基准日所考虑的主要因素是选定的评估基准日为会计期末日并与审计截止日保持一致</w:t>
      </w:r>
      <w:r>
        <w:rPr>
          <w:rFonts w:hint="eastAsia"/>
          <w:color w:val="000000" w:themeColor="text1"/>
          <w:szCs w:val="24"/>
        </w:rPr>
        <w:t>，</w:t>
      </w:r>
      <w:r>
        <w:rPr>
          <w:color w:val="000000" w:themeColor="text1"/>
          <w:szCs w:val="24"/>
        </w:rPr>
        <w:t>能够较全面地反映委估资产及负债的账面情况</w:t>
      </w:r>
      <w:r>
        <w:rPr>
          <w:rFonts w:hint="eastAsia"/>
          <w:color w:val="000000" w:themeColor="text1"/>
          <w:szCs w:val="24"/>
        </w:rPr>
        <w:t>，</w:t>
      </w:r>
      <w:r>
        <w:rPr>
          <w:color w:val="000000" w:themeColor="text1"/>
          <w:szCs w:val="24"/>
        </w:rPr>
        <w:t>便于资产清查核实等工作的开展</w:t>
      </w:r>
      <w:r>
        <w:rPr>
          <w:rFonts w:hint="eastAsia"/>
          <w:color w:val="000000" w:themeColor="text1"/>
          <w:szCs w:val="24"/>
        </w:rPr>
        <w:t>。</w:t>
      </w:r>
    </w:p>
    <w:bookmarkEnd w:id="9"/>
    <w:p>
      <w:pPr>
        <w:pStyle w:val="4"/>
        <w:spacing w:before="0" w:after="100" w:afterAutospacing="1" w:line="600" w:lineRule="exact"/>
        <w:rPr>
          <w:color w:val="000000" w:themeColor="text1"/>
          <w:sz w:val="24"/>
          <w:szCs w:val="24"/>
        </w:rPr>
      </w:pPr>
      <w:bookmarkStart w:id="24" w:name="_Toc24640725"/>
      <w:bookmarkStart w:id="25" w:name="_Toc92353673"/>
      <w:bookmarkStart w:id="26" w:name="_Toc448559713"/>
      <w:r>
        <w:rPr>
          <w:color w:val="000000" w:themeColor="text1"/>
          <w:sz w:val="24"/>
          <w:szCs w:val="24"/>
        </w:rPr>
        <w:t>六、评估依据</w:t>
      </w:r>
      <w:bookmarkEnd w:id="24"/>
      <w:bookmarkEnd w:id="25"/>
    </w:p>
    <w:p>
      <w:pPr>
        <w:pStyle w:val="5"/>
        <w:rPr>
          <w:color w:val="000000" w:themeColor="text1"/>
          <w:szCs w:val="24"/>
        </w:rPr>
      </w:pPr>
      <w:r>
        <w:rPr>
          <w:color w:val="000000" w:themeColor="text1"/>
          <w:szCs w:val="24"/>
        </w:rPr>
        <w:t>本次评估工作中所遵循的经济行为依据、法律法规依据、评估准则依据、资产权属依据和评估</w:t>
      </w:r>
      <w:r>
        <w:rPr>
          <w:rFonts w:hint="eastAsia"/>
          <w:color w:val="000000" w:themeColor="text1"/>
          <w:szCs w:val="24"/>
        </w:rPr>
        <w:t>其他</w:t>
      </w:r>
      <w:r>
        <w:rPr>
          <w:color w:val="000000" w:themeColor="text1"/>
          <w:szCs w:val="24"/>
        </w:rPr>
        <w:t>依据为：</w:t>
      </w:r>
    </w:p>
    <w:bookmarkEnd w:id="26"/>
    <w:p>
      <w:pPr>
        <w:pStyle w:val="5"/>
        <w:ind w:firstLine="482" w:firstLineChars="200"/>
        <w:rPr>
          <w:b/>
          <w:color w:val="000000" w:themeColor="text1"/>
          <w:szCs w:val="24"/>
        </w:rPr>
      </w:pPr>
      <w:r>
        <w:rPr>
          <w:b/>
          <w:color w:val="000000" w:themeColor="text1"/>
          <w:szCs w:val="24"/>
        </w:rPr>
        <w:t>（一）经济行为依据</w:t>
      </w:r>
    </w:p>
    <w:p>
      <w:pPr>
        <w:pStyle w:val="5"/>
        <w:ind w:firstLine="480" w:firstLineChars="200"/>
        <w:rPr>
          <w:color w:val="000000" w:themeColor="text1"/>
          <w:szCs w:val="24"/>
        </w:rPr>
      </w:pPr>
      <w:r>
        <w:rPr>
          <w:rFonts w:hint="eastAsia"/>
          <w:color w:val="000000" w:themeColor="text1"/>
          <w:szCs w:val="24"/>
        </w:rPr>
        <w:t>委托方与我所签订的《资产评估委托合同》。</w:t>
      </w:r>
    </w:p>
    <w:p>
      <w:pPr>
        <w:pStyle w:val="5"/>
        <w:rPr>
          <w:b/>
          <w:color w:val="000000" w:themeColor="text1"/>
          <w:szCs w:val="24"/>
        </w:rPr>
      </w:pPr>
      <w:r>
        <w:rPr>
          <w:b/>
          <w:color w:val="000000" w:themeColor="text1"/>
          <w:szCs w:val="24"/>
        </w:rPr>
        <w:t>（二）</w:t>
      </w:r>
      <w:bookmarkStart w:id="27" w:name="_Toc143578291"/>
      <w:bookmarkStart w:id="28" w:name="_Toc113332682"/>
      <w:bookmarkStart w:id="29" w:name="_Toc80893259"/>
      <w:bookmarkStart w:id="30" w:name="_Toc213846101"/>
      <w:bookmarkStart w:id="31" w:name="_Toc113244878"/>
      <w:r>
        <w:rPr>
          <w:b/>
          <w:color w:val="000000" w:themeColor="text1"/>
          <w:szCs w:val="24"/>
        </w:rPr>
        <w:t>法律法规依据</w:t>
      </w:r>
      <w:bookmarkEnd w:id="27"/>
      <w:bookmarkEnd w:id="28"/>
      <w:bookmarkEnd w:id="29"/>
      <w:bookmarkEnd w:id="30"/>
      <w:bookmarkEnd w:id="31"/>
    </w:p>
    <w:p>
      <w:pPr>
        <w:pStyle w:val="5"/>
        <w:numPr>
          <w:ilvl w:val="0"/>
          <w:numId w:val="2"/>
        </w:numPr>
        <w:ind w:left="0" w:firstLine="480" w:firstLineChars="200"/>
        <w:rPr>
          <w:color w:val="000000" w:themeColor="text1"/>
          <w:szCs w:val="24"/>
        </w:rPr>
      </w:pPr>
      <w:r>
        <w:rPr>
          <w:rFonts w:hint="eastAsia"/>
          <w:color w:val="000000" w:themeColor="text1"/>
          <w:szCs w:val="24"/>
        </w:rPr>
        <w:t>《中华人民共和国资产评估法》（2016年7月2日，中华人民共和国主席令第46号，中华人民共和国第十二届全国人民代表大会常务委员会第二十一次会议通过）；</w:t>
      </w:r>
    </w:p>
    <w:p>
      <w:pPr>
        <w:pStyle w:val="5"/>
        <w:numPr>
          <w:ilvl w:val="0"/>
          <w:numId w:val="2"/>
        </w:numPr>
        <w:ind w:left="0" w:firstLine="480" w:firstLineChars="200"/>
        <w:rPr>
          <w:color w:val="000000" w:themeColor="text1"/>
          <w:szCs w:val="24"/>
        </w:rPr>
      </w:pPr>
      <w:r>
        <w:rPr>
          <w:rFonts w:hint="eastAsia"/>
          <w:color w:val="000000" w:themeColor="text1"/>
          <w:szCs w:val="24"/>
        </w:rPr>
        <w:t>《中华人民共和国企业国有资产法》（2008年10月28日，中华人民共和国主席令第5号，第十一届全国人民代表大会常务委员会第五次会议通过）；</w:t>
      </w:r>
    </w:p>
    <w:p>
      <w:pPr>
        <w:pStyle w:val="5"/>
        <w:numPr>
          <w:ilvl w:val="0"/>
          <w:numId w:val="2"/>
        </w:numPr>
        <w:ind w:left="0" w:firstLine="480" w:firstLineChars="200"/>
        <w:rPr>
          <w:color w:val="000000" w:themeColor="text1"/>
          <w:szCs w:val="24"/>
        </w:rPr>
      </w:pPr>
      <w:r>
        <w:rPr>
          <w:rFonts w:hint="eastAsia"/>
          <w:color w:val="000000" w:themeColor="text1"/>
          <w:szCs w:val="24"/>
        </w:rPr>
        <w:t>《中华人民共和国公司法》（2018年10月26日，中华人民共和国主席令第15号，第十三届全国人民代表大会常务委员会第六次会议通过第四次修正）；</w:t>
      </w:r>
    </w:p>
    <w:p>
      <w:pPr>
        <w:pStyle w:val="5"/>
        <w:numPr>
          <w:ilvl w:val="0"/>
          <w:numId w:val="2"/>
        </w:numPr>
        <w:ind w:left="0" w:firstLine="480" w:firstLineChars="200"/>
        <w:rPr>
          <w:color w:val="000000" w:themeColor="text1"/>
        </w:rPr>
      </w:pPr>
      <w:r>
        <w:rPr>
          <w:rFonts w:hint="eastAsia"/>
          <w:color w:val="000000" w:themeColor="text1"/>
          <w:szCs w:val="24"/>
        </w:rPr>
        <w:t>《中华人民共和国企业所得税法》（</w:t>
      </w:r>
      <w:r>
        <w:rPr>
          <w:rFonts w:hint="eastAsia"/>
          <w:color w:val="000000" w:themeColor="text1"/>
        </w:rPr>
        <w:t>2007年3月16日第十届全国人民代表大会第五次会议通过），于</w:t>
      </w:r>
      <w:r>
        <w:rPr>
          <w:color w:val="000000" w:themeColor="text1"/>
        </w:rPr>
        <w:t>2019年4月23日中华人民共和国国务院令第714号修订</w:t>
      </w:r>
      <w:r>
        <w:rPr>
          <w:rFonts w:hint="eastAsia"/>
          <w:color w:val="000000" w:themeColor="text1"/>
          <w:szCs w:val="24"/>
        </w:rPr>
        <w:t>；</w:t>
      </w:r>
    </w:p>
    <w:p>
      <w:pPr>
        <w:pStyle w:val="5"/>
        <w:numPr>
          <w:ilvl w:val="0"/>
          <w:numId w:val="2"/>
        </w:numPr>
        <w:ind w:left="0" w:firstLine="480" w:firstLineChars="200"/>
        <w:rPr>
          <w:color w:val="000000" w:themeColor="text1"/>
          <w:szCs w:val="24"/>
        </w:rPr>
      </w:pPr>
      <w:r>
        <w:rPr>
          <w:color w:val="000000" w:themeColor="text1"/>
          <w:szCs w:val="24"/>
        </w:rPr>
        <w:t>《国有资产评估管理办法》（国务院1991年91号令）；</w:t>
      </w:r>
    </w:p>
    <w:p>
      <w:pPr>
        <w:pStyle w:val="5"/>
        <w:numPr>
          <w:ilvl w:val="0"/>
          <w:numId w:val="2"/>
        </w:numPr>
        <w:ind w:left="0" w:firstLine="480" w:firstLineChars="200"/>
        <w:rPr>
          <w:color w:val="000000" w:themeColor="text1"/>
          <w:szCs w:val="24"/>
        </w:rPr>
      </w:pPr>
      <w:r>
        <w:rPr>
          <w:rFonts w:hint="eastAsia"/>
          <w:color w:val="000000" w:themeColor="text1"/>
          <w:szCs w:val="24"/>
        </w:rPr>
        <w:t>《企业国有资产监督管理暂行条例》</w:t>
      </w:r>
      <w:r>
        <w:rPr>
          <w:color w:val="000000" w:themeColor="text1"/>
          <w:szCs w:val="24"/>
        </w:rPr>
        <w:t>(</w:t>
      </w:r>
      <w:r>
        <w:rPr>
          <w:rFonts w:hint="eastAsia"/>
          <w:color w:val="000000" w:themeColor="text1"/>
          <w:szCs w:val="24"/>
        </w:rPr>
        <w:t>中华人民共和国国务院令第</w:t>
      </w:r>
      <w:r>
        <w:rPr>
          <w:color w:val="000000" w:themeColor="text1"/>
          <w:szCs w:val="24"/>
        </w:rPr>
        <w:t>709</w:t>
      </w:r>
      <w:r>
        <w:rPr>
          <w:rFonts w:hint="eastAsia"/>
          <w:color w:val="000000" w:themeColor="text1"/>
          <w:szCs w:val="24"/>
        </w:rPr>
        <w:t>号</w:t>
      </w:r>
      <w:r>
        <w:rPr>
          <w:color w:val="000000" w:themeColor="text1"/>
          <w:szCs w:val="24"/>
        </w:rPr>
        <w:t>)；</w:t>
      </w:r>
    </w:p>
    <w:p>
      <w:pPr>
        <w:pStyle w:val="5"/>
        <w:numPr>
          <w:ilvl w:val="0"/>
          <w:numId w:val="2"/>
        </w:numPr>
        <w:ind w:left="0" w:firstLine="480" w:firstLineChars="200"/>
        <w:rPr>
          <w:color w:val="000000" w:themeColor="text1"/>
          <w:szCs w:val="24"/>
        </w:rPr>
      </w:pPr>
      <w:r>
        <w:rPr>
          <w:color w:val="000000" w:themeColor="text1"/>
          <w:szCs w:val="24"/>
        </w:rPr>
        <w:t>《企业国有资产评估管理暂行办法》（2005年</w:t>
      </w:r>
      <w:r>
        <w:rPr>
          <w:rFonts w:hint="eastAsia"/>
          <w:color w:val="000000" w:themeColor="text1"/>
          <w:szCs w:val="24"/>
        </w:rPr>
        <w:t>8月25日，</w:t>
      </w:r>
      <w:r>
        <w:rPr>
          <w:color w:val="000000" w:themeColor="text1"/>
          <w:szCs w:val="24"/>
        </w:rPr>
        <w:t>国务院</w:t>
      </w:r>
      <w:r>
        <w:rPr>
          <w:rFonts w:hint="eastAsia"/>
          <w:color w:val="000000" w:themeColor="text1"/>
          <w:szCs w:val="24"/>
        </w:rPr>
        <w:t>国有</w:t>
      </w:r>
      <w:r>
        <w:rPr>
          <w:color w:val="000000" w:themeColor="text1"/>
          <w:szCs w:val="24"/>
        </w:rPr>
        <w:t>资产监督管理委员会令第12号</w:t>
      </w:r>
      <w:r>
        <w:rPr>
          <w:rFonts w:hint="eastAsia"/>
          <w:color w:val="000000" w:themeColor="text1"/>
          <w:szCs w:val="24"/>
        </w:rPr>
        <w:t>，</w:t>
      </w:r>
      <w:r>
        <w:rPr>
          <w:color w:val="000000" w:themeColor="text1"/>
          <w:szCs w:val="24"/>
        </w:rPr>
        <w:t>国务院</w:t>
      </w:r>
      <w:r>
        <w:rPr>
          <w:rFonts w:hint="eastAsia"/>
          <w:color w:val="000000" w:themeColor="text1"/>
          <w:szCs w:val="24"/>
        </w:rPr>
        <w:t>国有</w:t>
      </w:r>
      <w:r>
        <w:rPr>
          <w:color w:val="000000" w:themeColor="text1"/>
          <w:szCs w:val="24"/>
        </w:rPr>
        <w:t>资产监督管理委员第</w:t>
      </w:r>
      <w:r>
        <w:rPr>
          <w:rFonts w:hint="eastAsia"/>
          <w:color w:val="000000" w:themeColor="text1"/>
          <w:szCs w:val="24"/>
        </w:rPr>
        <w:t>31次主任办公会议审议通过</w:t>
      </w:r>
      <w:r>
        <w:rPr>
          <w:color w:val="000000" w:themeColor="text1"/>
          <w:szCs w:val="24"/>
        </w:rPr>
        <w:t>）；</w:t>
      </w:r>
    </w:p>
    <w:p>
      <w:pPr>
        <w:pStyle w:val="5"/>
        <w:numPr>
          <w:ilvl w:val="0"/>
          <w:numId w:val="2"/>
        </w:numPr>
        <w:ind w:left="0" w:firstLine="480" w:firstLineChars="200"/>
        <w:rPr>
          <w:color w:val="000000" w:themeColor="text1"/>
          <w:szCs w:val="24"/>
        </w:rPr>
      </w:pPr>
      <w:r>
        <w:rPr>
          <w:color w:val="000000" w:themeColor="text1"/>
          <w:szCs w:val="24"/>
        </w:rPr>
        <w:t>《关于加强企业国有资产评估管理工作有关问题的通知》（</w:t>
      </w:r>
      <w:r>
        <w:rPr>
          <w:rFonts w:hint="eastAsia"/>
          <w:color w:val="000000" w:themeColor="text1"/>
          <w:szCs w:val="24"/>
        </w:rPr>
        <w:t>2006年12月12日，</w:t>
      </w:r>
      <w:r>
        <w:rPr>
          <w:color w:val="000000" w:themeColor="text1"/>
          <w:szCs w:val="24"/>
        </w:rPr>
        <w:t>国资委产权[2006]274号</w:t>
      </w:r>
      <w:r>
        <w:rPr>
          <w:rFonts w:hint="eastAsia"/>
          <w:color w:val="000000" w:themeColor="text1"/>
          <w:szCs w:val="24"/>
        </w:rPr>
        <w:t>，</w:t>
      </w:r>
      <w:r>
        <w:rPr>
          <w:color w:val="000000" w:themeColor="text1"/>
          <w:szCs w:val="24"/>
        </w:rPr>
        <w:t>国务院</w:t>
      </w:r>
      <w:r>
        <w:rPr>
          <w:rFonts w:hint="eastAsia"/>
          <w:color w:val="000000" w:themeColor="text1"/>
          <w:szCs w:val="24"/>
        </w:rPr>
        <w:t>国有</w:t>
      </w:r>
      <w:r>
        <w:rPr>
          <w:color w:val="000000" w:themeColor="text1"/>
          <w:szCs w:val="24"/>
        </w:rPr>
        <w:t>资产监督管理委员会）；</w:t>
      </w:r>
    </w:p>
    <w:p>
      <w:pPr>
        <w:pStyle w:val="5"/>
        <w:numPr>
          <w:ilvl w:val="0"/>
          <w:numId w:val="2"/>
        </w:numPr>
        <w:ind w:left="0" w:firstLine="424" w:firstLineChars="177"/>
        <w:rPr>
          <w:color w:val="000000" w:themeColor="text1"/>
          <w:szCs w:val="24"/>
        </w:rPr>
      </w:pPr>
      <w:r>
        <w:rPr>
          <w:rFonts w:hint="eastAsia"/>
          <w:color w:val="000000" w:themeColor="text1"/>
          <w:szCs w:val="24"/>
        </w:rPr>
        <w:t>财政部、国家税务总局《关于全面推开营业税改增值税试点的通知》（财税[2016]36号）；</w:t>
      </w:r>
    </w:p>
    <w:p>
      <w:pPr>
        <w:pStyle w:val="5"/>
        <w:numPr>
          <w:ilvl w:val="0"/>
          <w:numId w:val="2"/>
        </w:numPr>
        <w:ind w:left="0" w:firstLine="424" w:firstLineChars="177"/>
        <w:rPr>
          <w:color w:val="000000" w:themeColor="text1"/>
          <w:szCs w:val="24"/>
        </w:rPr>
      </w:pPr>
      <w:r>
        <w:rPr>
          <w:rFonts w:hint="eastAsia"/>
          <w:color w:val="000000" w:themeColor="text1"/>
          <w:szCs w:val="24"/>
        </w:rPr>
        <w:t>《关于深化增值税改革有关政策的公告》（财政部税务总局海关总署公告2019年第39号）；</w:t>
      </w:r>
    </w:p>
    <w:p>
      <w:pPr>
        <w:pStyle w:val="5"/>
        <w:numPr>
          <w:ilvl w:val="0"/>
          <w:numId w:val="2"/>
        </w:numPr>
        <w:ind w:left="0" w:firstLine="480" w:firstLineChars="200"/>
        <w:rPr>
          <w:color w:val="000000" w:themeColor="text1"/>
          <w:szCs w:val="24"/>
        </w:rPr>
      </w:pPr>
      <w:r>
        <w:rPr>
          <w:rFonts w:hint="eastAsia"/>
          <w:color w:val="000000" w:themeColor="text1"/>
          <w:szCs w:val="24"/>
        </w:rPr>
        <w:t>《中华人民共和国物权法》（第十届全国人民代表大会第五次会议于2007年3月16日通过，自2007年10月1日起施行）；</w:t>
      </w:r>
    </w:p>
    <w:p>
      <w:pPr>
        <w:pStyle w:val="5"/>
        <w:numPr>
          <w:ilvl w:val="0"/>
          <w:numId w:val="2"/>
        </w:numPr>
        <w:ind w:left="0" w:firstLine="424" w:firstLineChars="177"/>
        <w:rPr>
          <w:color w:val="000000" w:themeColor="text1"/>
          <w:szCs w:val="24"/>
        </w:rPr>
      </w:pPr>
      <w:r>
        <w:rPr>
          <w:rFonts w:hint="eastAsia"/>
          <w:color w:val="000000" w:themeColor="text1"/>
          <w:szCs w:val="24"/>
        </w:rPr>
        <w:t>《中华人民共和国城市房地产管理法》（中华人民共和国主席令十届第72号），经2019年8月26日第十三届全国人民代表大会常务委员会第十二次会议第3次进行了修改；</w:t>
      </w:r>
    </w:p>
    <w:p>
      <w:pPr>
        <w:pStyle w:val="5"/>
        <w:numPr>
          <w:ilvl w:val="0"/>
          <w:numId w:val="2"/>
        </w:numPr>
        <w:ind w:left="0" w:firstLine="480" w:firstLineChars="200"/>
        <w:rPr>
          <w:color w:val="000000" w:themeColor="text1"/>
          <w:szCs w:val="24"/>
        </w:rPr>
      </w:pPr>
      <w:r>
        <w:rPr>
          <w:color w:val="000000" w:themeColor="text1"/>
          <w:szCs w:val="24"/>
        </w:rPr>
        <w:t>《中华人民共和国增值税暂行条例实施细则》</w:t>
      </w:r>
      <w:r>
        <w:rPr>
          <w:rFonts w:hint="eastAsia"/>
          <w:color w:val="000000" w:themeColor="text1"/>
          <w:szCs w:val="24"/>
        </w:rPr>
        <w:t>（财政部、国家税务总局令第50号）；</w:t>
      </w:r>
    </w:p>
    <w:p>
      <w:pPr>
        <w:pStyle w:val="5"/>
        <w:numPr>
          <w:ilvl w:val="0"/>
          <w:numId w:val="2"/>
        </w:numPr>
        <w:ind w:left="0" w:firstLine="480" w:firstLineChars="200"/>
        <w:rPr>
          <w:color w:val="000000" w:themeColor="text1"/>
          <w:szCs w:val="24"/>
        </w:rPr>
      </w:pPr>
      <w:r>
        <w:rPr>
          <w:rFonts w:hint="eastAsia"/>
          <w:color w:val="000000" w:themeColor="text1"/>
          <w:szCs w:val="24"/>
        </w:rPr>
        <w:t>《财政部税务总局关于调整增值税税率的通知》（财税2018年32号）；</w:t>
      </w:r>
    </w:p>
    <w:p>
      <w:pPr>
        <w:pStyle w:val="5"/>
        <w:numPr>
          <w:ilvl w:val="0"/>
          <w:numId w:val="2"/>
        </w:numPr>
        <w:ind w:left="0" w:firstLine="480" w:firstLineChars="200"/>
        <w:rPr>
          <w:color w:val="000000" w:themeColor="text1"/>
          <w:szCs w:val="24"/>
        </w:rPr>
      </w:pPr>
      <w:r>
        <w:rPr>
          <w:color w:val="000000" w:themeColor="text1"/>
          <w:szCs w:val="24"/>
        </w:rPr>
        <w:t>《国有资产评估管理若干问题的规定》（财政部第14号令）；</w:t>
      </w:r>
    </w:p>
    <w:p>
      <w:pPr>
        <w:pStyle w:val="5"/>
        <w:numPr>
          <w:ilvl w:val="0"/>
          <w:numId w:val="2"/>
        </w:numPr>
        <w:ind w:left="0" w:firstLine="480" w:firstLineChars="200"/>
        <w:rPr>
          <w:color w:val="000000" w:themeColor="text1"/>
          <w:szCs w:val="24"/>
        </w:rPr>
      </w:pPr>
      <w:r>
        <w:rPr>
          <w:color w:val="000000" w:themeColor="text1"/>
          <w:szCs w:val="24"/>
        </w:rPr>
        <w:t>《企业国有资产评估项目备案工作指引》（国资发产权[2013]64号）</w:t>
      </w:r>
      <w:r>
        <w:rPr>
          <w:rFonts w:hint="eastAsia"/>
          <w:color w:val="000000" w:themeColor="text1"/>
          <w:szCs w:val="24"/>
        </w:rPr>
        <w:t>；</w:t>
      </w:r>
    </w:p>
    <w:p>
      <w:pPr>
        <w:pStyle w:val="5"/>
        <w:numPr>
          <w:ilvl w:val="0"/>
          <w:numId w:val="2"/>
        </w:numPr>
        <w:ind w:left="0" w:firstLine="480" w:firstLineChars="200"/>
        <w:rPr>
          <w:color w:val="000000" w:themeColor="text1"/>
          <w:szCs w:val="24"/>
        </w:rPr>
      </w:pPr>
      <w:r>
        <w:rPr>
          <w:rFonts w:hint="eastAsia"/>
          <w:color w:val="000000" w:themeColor="text1"/>
          <w:szCs w:val="24"/>
        </w:rPr>
        <w:t>财政部于</w:t>
      </w:r>
      <w:r>
        <w:rPr>
          <w:color w:val="000000" w:themeColor="text1"/>
          <w:szCs w:val="24"/>
        </w:rPr>
        <w:t>2005</w:t>
      </w:r>
      <w:r>
        <w:rPr>
          <w:rFonts w:hint="eastAsia"/>
          <w:color w:val="000000" w:themeColor="text1"/>
          <w:szCs w:val="24"/>
        </w:rPr>
        <w:t>年</w:t>
      </w:r>
      <w:r>
        <w:rPr>
          <w:color w:val="000000" w:themeColor="text1"/>
          <w:szCs w:val="24"/>
        </w:rPr>
        <w:t>1</w:t>
      </w:r>
      <w:r>
        <w:rPr>
          <w:rFonts w:hint="eastAsia"/>
          <w:color w:val="000000" w:themeColor="text1"/>
          <w:szCs w:val="24"/>
        </w:rPr>
        <w:t>月</w:t>
      </w:r>
      <w:r>
        <w:rPr>
          <w:color w:val="000000" w:themeColor="text1"/>
          <w:szCs w:val="24"/>
        </w:rPr>
        <w:t>26</w:t>
      </w:r>
      <w:r>
        <w:rPr>
          <w:rFonts w:hint="eastAsia"/>
          <w:color w:val="000000" w:themeColor="text1"/>
          <w:szCs w:val="24"/>
        </w:rPr>
        <w:t>日发布了关于《企业公司制改建有关国有资本管理与财务处理的暂行规定》有关问题的补充通知（财企</w:t>
      </w:r>
      <w:r>
        <w:rPr>
          <w:color w:val="000000" w:themeColor="text1"/>
          <w:szCs w:val="24"/>
        </w:rPr>
        <w:t>[2005]12</w:t>
      </w:r>
      <w:r>
        <w:rPr>
          <w:rFonts w:hint="eastAsia"/>
          <w:color w:val="000000" w:themeColor="text1"/>
          <w:szCs w:val="24"/>
        </w:rPr>
        <w:t>号）；</w:t>
      </w:r>
    </w:p>
    <w:p>
      <w:pPr>
        <w:pStyle w:val="5"/>
        <w:numPr>
          <w:ilvl w:val="0"/>
          <w:numId w:val="2"/>
        </w:numPr>
        <w:ind w:left="0" w:firstLine="480" w:firstLineChars="200"/>
        <w:rPr>
          <w:color w:val="000000" w:themeColor="text1"/>
          <w:szCs w:val="24"/>
        </w:rPr>
      </w:pPr>
      <w:r>
        <w:rPr>
          <w:rFonts w:hint="eastAsia"/>
          <w:color w:val="000000" w:themeColor="text1"/>
          <w:szCs w:val="24"/>
        </w:rPr>
        <w:t>《国务院办公厅转发国资委关于进一步规范国有企业改制工作实施意见的通知》（国办发[2005]60号）；</w:t>
      </w:r>
    </w:p>
    <w:p>
      <w:pPr>
        <w:pStyle w:val="5"/>
        <w:numPr>
          <w:ilvl w:val="0"/>
          <w:numId w:val="2"/>
        </w:numPr>
        <w:ind w:left="0" w:firstLine="480" w:firstLineChars="200"/>
        <w:rPr>
          <w:color w:val="000000" w:themeColor="text1"/>
          <w:szCs w:val="24"/>
        </w:rPr>
      </w:pPr>
      <w:r>
        <w:rPr>
          <w:color w:val="000000" w:themeColor="text1"/>
          <w:szCs w:val="24"/>
        </w:rPr>
        <w:t>其它相关的法律法规文件。</w:t>
      </w:r>
    </w:p>
    <w:p>
      <w:pPr>
        <w:pStyle w:val="5"/>
        <w:rPr>
          <w:b/>
          <w:color w:val="000000" w:themeColor="text1"/>
          <w:szCs w:val="24"/>
        </w:rPr>
      </w:pPr>
      <w:r>
        <w:rPr>
          <w:b/>
          <w:color w:val="000000" w:themeColor="text1"/>
          <w:szCs w:val="24"/>
        </w:rPr>
        <w:t>（三）</w:t>
      </w:r>
      <w:bookmarkStart w:id="32" w:name="_Toc213846102"/>
      <w:r>
        <w:rPr>
          <w:b/>
          <w:color w:val="000000" w:themeColor="text1"/>
          <w:szCs w:val="24"/>
        </w:rPr>
        <w:t>评估准则依据</w:t>
      </w:r>
      <w:bookmarkEnd w:id="32"/>
    </w:p>
    <w:p>
      <w:pPr>
        <w:pStyle w:val="5"/>
        <w:rPr>
          <w:rFonts w:ascii="Arial" w:hAnsi="Arial" w:cs="Arial"/>
          <w:color w:val="000000"/>
          <w:szCs w:val="24"/>
        </w:rPr>
      </w:pPr>
      <w:r>
        <w:rPr>
          <w:rFonts w:ascii="Arial" w:hAnsi="Arial" w:cs="Arial"/>
          <w:color w:val="000000"/>
          <w:szCs w:val="24"/>
        </w:rPr>
        <w:t>1.《资产评估基本准则》（财资[2017]43号）；</w:t>
      </w:r>
    </w:p>
    <w:p>
      <w:pPr>
        <w:pStyle w:val="5"/>
        <w:rPr>
          <w:rFonts w:ascii="Arial" w:hAnsi="Arial" w:cs="Arial"/>
          <w:color w:val="000000"/>
          <w:szCs w:val="24"/>
        </w:rPr>
      </w:pPr>
      <w:r>
        <w:rPr>
          <w:rFonts w:ascii="Arial" w:hAnsi="Arial" w:cs="Arial"/>
          <w:color w:val="000000"/>
          <w:szCs w:val="24"/>
        </w:rPr>
        <w:t>2.《资产评估职业道德准则》（中评协[2017]30号）；</w:t>
      </w:r>
    </w:p>
    <w:p>
      <w:pPr>
        <w:pStyle w:val="5"/>
        <w:rPr>
          <w:rFonts w:ascii="Arial" w:hAnsi="Arial" w:cs="Arial"/>
          <w:color w:val="000000"/>
          <w:szCs w:val="24"/>
        </w:rPr>
      </w:pPr>
      <w:r>
        <w:rPr>
          <w:rFonts w:ascii="Arial" w:hAnsi="Arial" w:cs="Arial"/>
          <w:color w:val="000000"/>
          <w:szCs w:val="24"/>
        </w:rPr>
        <w:t>3.《资产评估执业准则—资产评估报告》（中评协[2018]35号）；</w:t>
      </w:r>
    </w:p>
    <w:p>
      <w:pPr>
        <w:pStyle w:val="5"/>
        <w:rPr>
          <w:rFonts w:ascii="Arial" w:hAnsi="Arial" w:cs="Arial"/>
          <w:color w:val="000000"/>
          <w:szCs w:val="24"/>
        </w:rPr>
      </w:pPr>
      <w:r>
        <w:rPr>
          <w:rFonts w:ascii="Arial" w:hAnsi="Arial" w:cs="Arial"/>
          <w:color w:val="000000"/>
          <w:szCs w:val="24"/>
        </w:rPr>
        <w:t>4.《资产评估执业准则—资产评估程序》（中评协[2018]36号）；</w:t>
      </w:r>
    </w:p>
    <w:p>
      <w:pPr>
        <w:pStyle w:val="5"/>
        <w:rPr>
          <w:rFonts w:ascii="Arial" w:hAnsi="Arial" w:cs="Arial"/>
          <w:color w:val="000000"/>
          <w:szCs w:val="24"/>
        </w:rPr>
      </w:pPr>
      <w:r>
        <w:rPr>
          <w:rFonts w:ascii="Arial" w:hAnsi="Arial" w:cs="Arial"/>
          <w:color w:val="000000"/>
          <w:szCs w:val="24"/>
        </w:rPr>
        <w:t>5.《资产评估执业准则—资产评估委托合同》（中评协[2017]33号）；</w:t>
      </w:r>
    </w:p>
    <w:p>
      <w:pPr>
        <w:pStyle w:val="5"/>
        <w:rPr>
          <w:rFonts w:ascii="Arial" w:hAnsi="Arial" w:cs="Arial"/>
          <w:color w:val="000000"/>
          <w:szCs w:val="24"/>
        </w:rPr>
      </w:pPr>
      <w:r>
        <w:rPr>
          <w:rFonts w:hint="eastAsia" w:ascii="Arial" w:hAnsi="Arial" w:cs="Arial"/>
          <w:color w:val="000000"/>
          <w:szCs w:val="24"/>
        </w:rPr>
        <w:t>6.《资产评估执业准则——无形资产》</w:t>
      </w:r>
      <w:r>
        <w:rPr>
          <w:rFonts w:ascii="Arial" w:hAnsi="Arial" w:cs="Arial"/>
          <w:color w:val="000000"/>
          <w:szCs w:val="24"/>
        </w:rPr>
        <w:t>（中评协[2017]3</w:t>
      </w:r>
      <w:r>
        <w:rPr>
          <w:rFonts w:hint="eastAsia" w:ascii="Arial" w:hAnsi="Arial" w:cs="Arial"/>
          <w:color w:val="000000"/>
          <w:szCs w:val="24"/>
        </w:rPr>
        <w:t>7</w:t>
      </w:r>
      <w:r>
        <w:rPr>
          <w:rFonts w:ascii="Arial" w:hAnsi="Arial" w:cs="Arial"/>
          <w:color w:val="000000"/>
          <w:szCs w:val="24"/>
        </w:rPr>
        <w:t>号）；</w:t>
      </w:r>
    </w:p>
    <w:p>
      <w:pPr>
        <w:pStyle w:val="5"/>
        <w:rPr>
          <w:rFonts w:ascii="Arial" w:hAnsi="Arial" w:cs="Arial"/>
          <w:color w:val="000000"/>
          <w:szCs w:val="24"/>
        </w:rPr>
      </w:pPr>
      <w:r>
        <w:rPr>
          <w:rFonts w:hint="eastAsia" w:ascii="Arial" w:hAnsi="Arial" w:cs="Arial"/>
          <w:color w:val="000000"/>
          <w:szCs w:val="24"/>
        </w:rPr>
        <w:t>7</w:t>
      </w:r>
      <w:r>
        <w:rPr>
          <w:rFonts w:ascii="Arial" w:hAnsi="Arial" w:cs="Arial"/>
          <w:color w:val="000000"/>
          <w:szCs w:val="24"/>
        </w:rPr>
        <w:t>.《资产评估执业准则—资产评估档案》（中评协[2018]37号）；</w:t>
      </w:r>
    </w:p>
    <w:p>
      <w:pPr>
        <w:pStyle w:val="5"/>
        <w:rPr>
          <w:rFonts w:ascii="Arial" w:hAnsi="Arial" w:cs="Arial"/>
          <w:color w:val="000000"/>
          <w:szCs w:val="24"/>
        </w:rPr>
      </w:pPr>
      <w:r>
        <w:rPr>
          <w:rFonts w:hint="eastAsia" w:ascii="Arial" w:hAnsi="Arial" w:cs="Arial"/>
          <w:color w:val="000000"/>
          <w:szCs w:val="24"/>
        </w:rPr>
        <w:t>8</w:t>
      </w:r>
      <w:r>
        <w:rPr>
          <w:rFonts w:ascii="Arial" w:hAnsi="Arial" w:cs="Arial"/>
          <w:color w:val="000000"/>
          <w:szCs w:val="24"/>
        </w:rPr>
        <w:t>.《资产评估执业准则—利用专家工作及相关报告》（中评协[2017]35号）；</w:t>
      </w:r>
    </w:p>
    <w:p>
      <w:pPr>
        <w:pStyle w:val="5"/>
        <w:rPr>
          <w:rFonts w:ascii="Arial" w:hAnsi="Arial" w:cs="Arial"/>
          <w:color w:val="000000"/>
          <w:szCs w:val="24"/>
        </w:rPr>
      </w:pPr>
      <w:r>
        <w:rPr>
          <w:rFonts w:hint="eastAsia" w:ascii="Arial" w:hAnsi="Arial" w:cs="Arial"/>
          <w:color w:val="000000"/>
          <w:szCs w:val="24"/>
        </w:rPr>
        <w:t>9</w:t>
      </w:r>
      <w:r>
        <w:rPr>
          <w:rFonts w:ascii="Arial" w:hAnsi="Arial" w:cs="Arial"/>
          <w:color w:val="000000"/>
          <w:szCs w:val="24"/>
        </w:rPr>
        <w:t>.《资产评估执业准则—不动产》（中评协[2017]38号）；</w:t>
      </w:r>
    </w:p>
    <w:p>
      <w:pPr>
        <w:pStyle w:val="5"/>
        <w:rPr>
          <w:rFonts w:ascii="Arial" w:hAnsi="Arial" w:cs="Arial"/>
          <w:color w:val="000000"/>
          <w:szCs w:val="24"/>
        </w:rPr>
      </w:pPr>
      <w:r>
        <w:rPr>
          <w:rFonts w:hint="eastAsia" w:ascii="Arial" w:hAnsi="Arial" w:cs="Arial"/>
          <w:color w:val="000000"/>
          <w:szCs w:val="24"/>
        </w:rPr>
        <w:t>10</w:t>
      </w:r>
      <w:r>
        <w:rPr>
          <w:rFonts w:ascii="Arial" w:hAnsi="Arial" w:cs="Arial"/>
          <w:color w:val="000000"/>
          <w:szCs w:val="24"/>
        </w:rPr>
        <w:t>.《资产评估执业准则—机器设备》（中评协[2017]39号）；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1</w:t>
      </w:r>
      <w:r>
        <w:rPr>
          <w:rFonts w:ascii="Arial" w:hAnsi="Arial" w:cs="Arial"/>
          <w:color w:val="000000"/>
          <w:szCs w:val="24"/>
        </w:rPr>
        <w:t>.《企业国有资产评估报告指南》（中评协[2017]42号）；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2</w:t>
      </w:r>
      <w:r>
        <w:rPr>
          <w:rFonts w:ascii="Arial" w:hAnsi="Arial" w:cs="Arial"/>
          <w:color w:val="000000"/>
          <w:szCs w:val="24"/>
        </w:rPr>
        <w:t>.《资产评估执业准则—企业价值》（中评协[2018]38号）；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3</w:t>
      </w:r>
      <w:r>
        <w:rPr>
          <w:rFonts w:ascii="Arial" w:hAnsi="Arial" w:cs="Arial"/>
          <w:color w:val="000000"/>
          <w:szCs w:val="24"/>
        </w:rPr>
        <w:t>.《资产评估机构业务质量控制指南》（中评协[2017]46号）；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4</w:t>
      </w:r>
      <w:r>
        <w:rPr>
          <w:rFonts w:ascii="Arial" w:hAnsi="Arial" w:cs="Arial"/>
          <w:color w:val="000000"/>
          <w:szCs w:val="24"/>
        </w:rPr>
        <w:t>.《资产评估价值类型指导意见》（中评协[2017]47号）；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5</w:t>
      </w:r>
      <w:r>
        <w:rPr>
          <w:rFonts w:ascii="Arial" w:hAnsi="Arial" w:cs="Arial"/>
          <w:color w:val="000000"/>
          <w:szCs w:val="24"/>
        </w:rPr>
        <w:t>.《资产评估对象法律权属指导意见》（中评协[2017]48号）；</w:t>
      </w:r>
    </w:p>
    <w:p>
      <w:pPr>
        <w:pStyle w:val="5"/>
        <w:rPr>
          <w:rFonts w:ascii="Arial" w:hAnsi="Arial" w:cs="Arial"/>
          <w:color w:val="000000"/>
          <w:szCs w:val="24"/>
        </w:rPr>
      </w:pPr>
      <w:r>
        <w:rPr>
          <w:rFonts w:ascii="Arial" w:hAnsi="Arial" w:cs="Arial"/>
          <w:color w:val="000000"/>
          <w:szCs w:val="24"/>
        </w:rPr>
        <w:t>1</w:t>
      </w:r>
      <w:r>
        <w:rPr>
          <w:rFonts w:hint="eastAsia" w:ascii="Arial" w:hAnsi="Arial" w:cs="Arial"/>
          <w:color w:val="000000"/>
          <w:szCs w:val="24"/>
        </w:rPr>
        <w:t>6</w:t>
      </w:r>
      <w:r>
        <w:rPr>
          <w:rFonts w:ascii="Arial" w:hAnsi="Arial" w:cs="Arial"/>
          <w:color w:val="000000"/>
          <w:szCs w:val="24"/>
        </w:rPr>
        <w:t>.《资产评估执业准则—资产评估方法》（中评协[2019]35号）</w:t>
      </w:r>
      <w:r>
        <w:rPr>
          <w:rFonts w:hint="eastAsia" w:ascii="Arial" w:hAnsi="Arial" w:cs="Arial"/>
          <w:color w:val="000000"/>
          <w:szCs w:val="24"/>
        </w:rPr>
        <w:t>。</w:t>
      </w:r>
    </w:p>
    <w:p>
      <w:pPr>
        <w:pStyle w:val="5"/>
        <w:rPr>
          <w:b/>
          <w:color w:val="000000" w:themeColor="text1"/>
          <w:szCs w:val="24"/>
        </w:rPr>
      </w:pPr>
      <w:r>
        <w:rPr>
          <w:b/>
          <w:color w:val="000000" w:themeColor="text1"/>
          <w:szCs w:val="24"/>
        </w:rPr>
        <w:t>（四）资产权属依据</w:t>
      </w:r>
    </w:p>
    <w:p>
      <w:pPr>
        <w:pStyle w:val="5"/>
        <w:numPr>
          <w:ilvl w:val="0"/>
          <w:numId w:val="3"/>
        </w:numPr>
        <w:ind w:left="0" w:firstLine="480" w:firstLineChars="200"/>
        <w:rPr>
          <w:color w:val="000000" w:themeColor="text1"/>
          <w:szCs w:val="24"/>
        </w:rPr>
      </w:pPr>
      <w:bookmarkStart w:id="33" w:name="_Toc502117271"/>
      <w:bookmarkStart w:id="34" w:name="_Toc522509760"/>
      <w:bookmarkStart w:id="35" w:name="_Toc495555895"/>
      <w:bookmarkStart w:id="36" w:name="_Toc403664410"/>
      <w:r>
        <w:rPr>
          <w:color w:val="000000" w:themeColor="text1"/>
          <w:szCs w:val="24"/>
        </w:rPr>
        <w:t>企业法人营业执照、公司章程；</w:t>
      </w:r>
    </w:p>
    <w:p>
      <w:pPr>
        <w:pStyle w:val="5"/>
        <w:numPr>
          <w:ilvl w:val="0"/>
          <w:numId w:val="3"/>
        </w:numPr>
        <w:ind w:left="0" w:firstLine="480" w:firstLineChars="200"/>
        <w:rPr>
          <w:color w:val="000000" w:themeColor="text1"/>
          <w:szCs w:val="24"/>
        </w:rPr>
      </w:pPr>
      <w:r>
        <w:rPr>
          <w:color w:val="000000" w:themeColor="text1"/>
          <w:szCs w:val="24"/>
        </w:rPr>
        <w:t>有关协议、合同等资料及基准日会计报表；</w:t>
      </w:r>
    </w:p>
    <w:p>
      <w:pPr>
        <w:pStyle w:val="5"/>
        <w:numPr>
          <w:ilvl w:val="0"/>
          <w:numId w:val="3"/>
        </w:numPr>
        <w:ind w:left="0" w:firstLine="480" w:firstLineChars="200"/>
        <w:rPr>
          <w:color w:val="000000" w:themeColor="text1"/>
          <w:szCs w:val="24"/>
        </w:rPr>
      </w:pPr>
      <w:r>
        <w:rPr>
          <w:color w:val="000000" w:themeColor="text1"/>
          <w:szCs w:val="24"/>
        </w:rPr>
        <w:t>其他权属文件。</w:t>
      </w:r>
    </w:p>
    <w:p>
      <w:pPr>
        <w:pStyle w:val="5"/>
        <w:rPr>
          <w:b/>
          <w:color w:val="000000" w:themeColor="text1"/>
          <w:szCs w:val="24"/>
        </w:rPr>
      </w:pPr>
      <w:r>
        <w:rPr>
          <w:b/>
          <w:color w:val="000000" w:themeColor="text1"/>
          <w:szCs w:val="24"/>
        </w:rPr>
        <w:t>（五）评估</w:t>
      </w:r>
      <w:r>
        <w:rPr>
          <w:rFonts w:hint="eastAsia"/>
          <w:b/>
          <w:color w:val="000000" w:themeColor="text1"/>
          <w:szCs w:val="24"/>
        </w:rPr>
        <w:t>其他</w:t>
      </w:r>
      <w:r>
        <w:rPr>
          <w:b/>
          <w:color w:val="000000" w:themeColor="text1"/>
          <w:szCs w:val="24"/>
        </w:rPr>
        <w:t>依据</w:t>
      </w:r>
    </w:p>
    <w:bookmarkEnd w:id="33"/>
    <w:bookmarkEnd w:id="34"/>
    <w:bookmarkEnd w:id="35"/>
    <w:p>
      <w:pPr>
        <w:pStyle w:val="5"/>
        <w:numPr>
          <w:ilvl w:val="0"/>
          <w:numId w:val="4"/>
        </w:numPr>
        <w:ind w:left="0" w:firstLine="480" w:firstLineChars="200"/>
        <w:rPr>
          <w:color w:val="000000" w:themeColor="text1"/>
          <w:szCs w:val="24"/>
        </w:rPr>
      </w:pPr>
      <w:r>
        <w:rPr>
          <w:color w:val="000000" w:themeColor="text1"/>
          <w:szCs w:val="24"/>
        </w:rPr>
        <w:t>被评估单位提供的《资产评估申报表》；</w:t>
      </w:r>
    </w:p>
    <w:p>
      <w:pPr>
        <w:pStyle w:val="5"/>
        <w:numPr>
          <w:ilvl w:val="0"/>
          <w:numId w:val="4"/>
        </w:numPr>
        <w:ind w:left="0" w:firstLine="480" w:firstLineChars="200"/>
        <w:rPr>
          <w:color w:val="000000" w:themeColor="text1"/>
          <w:szCs w:val="24"/>
        </w:rPr>
      </w:pPr>
      <w:r>
        <w:rPr>
          <w:color w:val="000000" w:themeColor="text1"/>
          <w:szCs w:val="24"/>
        </w:rPr>
        <w:t>评估基准日银行存贷款基准利率及外汇汇率；</w:t>
      </w:r>
    </w:p>
    <w:p>
      <w:pPr>
        <w:pStyle w:val="5"/>
        <w:numPr>
          <w:ilvl w:val="0"/>
          <w:numId w:val="4"/>
        </w:numPr>
        <w:ind w:left="0" w:firstLine="480" w:firstLineChars="200"/>
        <w:rPr>
          <w:color w:val="000000" w:themeColor="text1"/>
          <w:szCs w:val="24"/>
        </w:rPr>
      </w:pPr>
      <w:r>
        <w:rPr>
          <w:color w:val="000000" w:themeColor="text1"/>
          <w:szCs w:val="24"/>
        </w:rPr>
        <w:t>企业提供的财务报表、审计报告等相关财务资料</w:t>
      </w:r>
      <w:r>
        <w:rPr>
          <w:rFonts w:hint="eastAsia"/>
          <w:color w:val="000000" w:themeColor="text1"/>
          <w:szCs w:val="24"/>
        </w:rPr>
        <w:t>，以及</w:t>
      </w:r>
      <w:r>
        <w:rPr>
          <w:color w:val="000000" w:themeColor="text1"/>
          <w:szCs w:val="24"/>
        </w:rPr>
        <w:t>相关资料</w:t>
      </w:r>
      <w:r>
        <w:rPr>
          <w:rFonts w:hint="eastAsia"/>
          <w:color w:val="000000" w:themeColor="text1"/>
          <w:szCs w:val="24"/>
        </w:rPr>
        <w:t>；</w:t>
      </w:r>
    </w:p>
    <w:p>
      <w:pPr>
        <w:pStyle w:val="5"/>
        <w:numPr>
          <w:ilvl w:val="0"/>
          <w:numId w:val="4"/>
        </w:numPr>
        <w:ind w:left="0" w:firstLine="480" w:firstLineChars="200"/>
        <w:rPr>
          <w:color w:val="000000" w:themeColor="text1"/>
          <w:szCs w:val="24"/>
        </w:rPr>
      </w:pPr>
      <w:r>
        <w:rPr>
          <w:color w:val="000000" w:themeColor="text1"/>
          <w:szCs w:val="24"/>
        </w:rPr>
        <w:t>评估人员现场勘察记录及收集的其他相关估价信息资料；</w:t>
      </w:r>
    </w:p>
    <w:p>
      <w:pPr>
        <w:pStyle w:val="5"/>
        <w:ind w:firstLine="480" w:firstLineChars="200"/>
        <w:rPr>
          <w:color w:val="000000" w:themeColor="text1"/>
          <w:szCs w:val="24"/>
        </w:rPr>
      </w:pPr>
      <w:r>
        <w:rPr>
          <w:rFonts w:hint="eastAsia"/>
          <w:color w:val="000000" w:themeColor="text1"/>
          <w:szCs w:val="24"/>
        </w:rPr>
        <w:t>5.</w:t>
      </w:r>
      <w:r>
        <w:rPr>
          <w:color w:val="000000" w:themeColor="text1"/>
          <w:szCs w:val="24"/>
        </w:rPr>
        <w:t>被评估单位提供的原始会计报表、财务会计经营方面的资料</w:t>
      </w:r>
      <w:r>
        <w:rPr>
          <w:rFonts w:hint="eastAsia"/>
          <w:color w:val="000000" w:themeColor="text1"/>
          <w:szCs w:val="24"/>
        </w:rPr>
        <w:t>，</w:t>
      </w:r>
      <w:r>
        <w:rPr>
          <w:color w:val="000000" w:themeColor="text1"/>
          <w:szCs w:val="24"/>
        </w:rPr>
        <w:t>以及有关协议、合同书、发票等财务资料；</w:t>
      </w:r>
    </w:p>
    <w:p>
      <w:pPr>
        <w:pStyle w:val="5"/>
        <w:ind w:firstLine="480" w:firstLineChars="200"/>
        <w:rPr>
          <w:color w:val="000000" w:themeColor="text1"/>
          <w:szCs w:val="24"/>
        </w:rPr>
      </w:pPr>
      <w:r>
        <w:rPr>
          <w:rFonts w:hint="eastAsia"/>
          <w:color w:val="000000" w:themeColor="text1"/>
          <w:szCs w:val="24"/>
        </w:rPr>
        <w:t>6.</w:t>
      </w:r>
      <w:r>
        <w:rPr>
          <w:color w:val="000000" w:themeColor="text1"/>
          <w:szCs w:val="24"/>
        </w:rPr>
        <w:t>国家有关部门发布的统计资料和技术标准资料及价格信息资料，以及收集的有关询价资料和取价参数资料等</w:t>
      </w:r>
      <w:r>
        <w:rPr>
          <w:rFonts w:hint="eastAsia"/>
          <w:color w:val="000000" w:themeColor="text1"/>
          <w:szCs w:val="24"/>
        </w:rPr>
        <w:t>；</w:t>
      </w:r>
    </w:p>
    <w:p>
      <w:pPr>
        <w:pStyle w:val="5"/>
        <w:ind w:left="480" w:firstLine="0"/>
        <w:rPr>
          <w:color w:val="000000" w:themeColor="text1"/>
          <w:szCs w:val="24"/>
        </w:rPr>
      </w:pPr>
      <w:r>
        <w:rPr>
          <w:rFonts w:hint="eastAsia"/>
          <w:color w:val="000000" w:themeColor="text1"/>
          <w:szCs w:val="24"/>
        </w:rPr>
        <w:t>7.</w:t>
      </w:r>
      <w:r>
        <w:rPr>
          <w:color w:val="000000" w:themeColor="text1"/>
          <w:szCs w:val="24"/>
        </w:rPr>
        <w:t>与此次资产评估有关的其他资料</w:t>
      </w:r>
      <w:r>
        <w:rPr>
          <w:rFonts w:hint="eastAsia"/>
          <w:color w:val="000000" w:themeColor="text1"/>
          <w:szCs w:val="24"/>
        </w:rPr>
        <w:t>。</w:t>
      </w:r>
    </w:p>
    <w:p>
      <w:pPr>
        <w:pStyle w:val="4"/>
        <w:spacing w:before="0" w:after="100" w:afterAutospacing="1" w:line="600" w:lineRule="exact"/>
        <w:rPr>
          <w:color w:val="000000" w:themeColor="text1"/>
          <w:sz w:val="24"/>
          <w:szCs w:val="24"/>
        </w:rPr>
      </w:pPr>
      <w:bookmarkStart w:id="37" w:name="_Toc92353674"/>
      <w:bookmarkStart w:id="38" w:name="_Toc24640726"/>
      <w:r>
        <w:rPr>
          <w:color w:val="000000" w:themeColor="text1"/>
          <w:sz w:val="24"/>
          <w:szCs w:val="24"/>
        </w:rPr>
        <w:t>七、评估方法</w:t>
      </w:r>
      <w:bookmarkEnd w:id="37"/>
      <w:bookmarkEnd w:id="38"/>
    </w:p>
    <w:p>
      <w:pPr>
        <w:pStyle w:val="5"/>
        <w:ind w:firstLine="482" w:firstLineChars="200"/>
        <w:rPr>
          <w:b/>
          <w:color w:val="000000" w:themeColor="text1"/>
          <w:szCs w:val="24"/>
        </w:rPr>
      </w:pPr>
      <w:r>
        <w:rPr>
          <w:b/>
          <w:color w:val="000000" w:themeColor="text1"/>
          <w:szCs w:val="24"/>
        </w:rPr>
        <w:t>（一）评估方法简介</w:t>
      </w:r>
    </w:p>
    <w:p>
      <w:pPr>
        <w:pStyle w:val="5"/>
        <w:ind w:firstLine="480" w:firstLineChars="200"/>
        <w:rPr>
          <w:color w:val="000000" w:themeColor="text1"/>
          <w:szCs w:val="24"/>
        </w:rPr>
      </w:pPr>
      <w:r>
        <w:rPr>
          <w:color w:val="000000" w:themeColor="text1"/>
          <w:szCs w:val="24"/>
        </w:rPr>
        <w:t>企业价值评估的基本方法包括资产基础法、收益法和市场法。</w:t>
      </w:r>
    </w:p>
    <w:p>
      <w:pPr>
        <w:pStyle w:val="5"/>
        <w:ind w:firstLine="480" w:firstLineChars="200"/>
        <w:rPr>
          <w:color w:val="000000" w:themeColor="text1"/>
          <w:szCs w:val="24"/>
        </w:rPr>
      </w:pPr>
      <w:r>
        <w:rPr>
          <w:color w:val="000000" w:themeColor="text1"/>
          <w:szCs w:val="24"/>
        </w:rPr>
        <w:t>资产基础法，是指以被评估企业评估基准日的资产负债表为基础，合理评估企业表内及表外各项资产、负债价值，确定评估对象价值的评估方法。</w:t>
      </w:r>
    </w:p>
    <w:p>
      <w:pPr>
        <w:pStyle w:val="5"/>
        <w:ind w:firstLine="540" w:firstLineChars="225"/>
        <w:rPr>
          <w:color w:val="000000" w:themeColor="text1"/>
          <w:szCs w:val="24"/>
        </w:rPr>
      </w:pPr>
      <w:r>
        <w:rPr>
          <w:color w:val="000000" w:themeColor="text1"/>
          <w:szCs w:val="24"/>
        </w:rPr>
        <w:t>收益法，是指将预期收益资本化或者折现，确定评估对象价值的评估方法。收益法常用的具体方法包括股利折现法和现金流量折现法。收益法是从企业获利能力的角度衡量企业的价值，建立在经济学的预期效用理论基础上。</w:t>
      </w:r>
    </w:p>
    <w:p>
      <w:pPr>
        <w:pStyle w:val="5"/>
        <w:ind w:firstLine="540" w:firstLineChars="225"/>
        <w:rPr>
          <w:color w:val="000000" w:themeColor="text1"/>
          <w:szCs w:val="24"/>
        </w:rPr>
      </w:pPr>
      <w:r>
        <w:rPr>
          <w:color w:val="000000" w:themeColor="text1"/>
          <w:szCs w:val="24"/>
        </w:rPr>
        <w:t>市场法，是指将评估对象与可比上市公司或者可比交易案例进行比较，确定评估对象价值的评估方法。市场法常用的两种具体方法是上市公司比较法和交易案例比较法。</w:t>
      </w:r>
    </w:p>
    <w:p>
      <w:pPr>
        <w:pStyle w:val="5"/>
        <w:ind w:firstLine="482" w:firstLineChars="200"/>
        <w:rPr>
          <w:b/>
          <w:color w:val="000000" w:themeColor="text1"/>
          <w:szCs w:val="24"/>
        </w:rPr>
      </w:pPr>
      <w:r>
        <w:rPr>
          <w:b/>
          <w:color w:val="000000" w:themeColor="text1"/>
          <w:szCs w:val="24"/>
        </w:rPr>
        <w:t>（二）评估方法的选择</w:t>
      </w:r>
    </w:p>
    <w:p>
      <w:pPr>
        <w:pStyle w:val="5"/>
        <w:ind w:firstLine="540" w:firstLineChars="225"/>
        <w:rPr>
          <w:color w:val="000000" w:themeColor="text1"/>
          <w:szCs w:val="24"/>
        </w:rPr>
      </w:pPr>
      <w:r>
        <w:rPr>
          <w:rFonts w:hint="eastAsia"/>
          <w:color w:val="000000" w:themeColor="text1"/>
          <w:szCs w:val="24"/>
        </w:rPr>
        <w:t>资产基础法是以资产负债表为基础，合理评估企业表内及表外各项资产、负债价值，确定评估对象价值的评估方法，结合本次评估情况，被评估单位可以提供、评估师也可以从外部收集到满足资产基础法所需的资料，可以对被评估单位资产及负债展开全面的清查和评估，因此本次评估适用资产基础法；</w:t>
      </w:r>
    </w:p>
    <w:p>
      <w:pPr>
        <w:pStyle w:val="5"/>
        <w:ind w:firstLine="540" w:firstLineChars="225"/>
        <w:rPr>
          <w:color w:val="000000" w:themeColor="text1"/>
          <w:szCs w:val="24"/>
        </w:rPr>
      </w:pPr>
      <w:r>
        <w:rPr>
          <w:rFonts w:hint="eastAsia"/>
          <w:color w:val="000000" w:themeColor="text1"/>
          <w:szCs w:val="24"/>
        </w:rPr>
        <w:t>收益法的基础是经济学的预期效用理论，即对投资者来讲，企业的价值在于预期企业未来所能够产生的收益。收益法虽然没有直接利用现实市场上的参照物来说明评估对象的现行公平市场价值，但它是从决定资产现行公平市场价值的基本依据—资产的预期获利能力的角度评价资产，能完整体现企业的整体价值，其评估结论具有较好的可靠性和说服力。从收益法适用条件来看，由于被评估单位管理层不能提供未来年度的盈利预测数据，且未来收益的风险不可合理量化，因此本次评估不适用收益法。</w:t>
      </w:r>
    </w:p>
    <w:p>
      <w:pPr>
        <w:pStyle w:val="5"/>
        <w:ind w:firstLine="540" w:firstLineChars="225"/>
        <w:rPr>
          <w:color w:val="000000" w:themeColor="text1"/>
          <w:szCs w:val="24"/>
        </w:rPr>
      </w:pPr>
      <w:r>
        <w:rPr>
          <w:color w:val="000000" w:themeColor="text1"/>
          <w:szCs w:val="24"/>
        </w:rPr>
        <w:t>市场法是以现实市场上的参照物来评价评估对象的现行公平市场价值，它具有评估角度和评估途径直接、评估过程直观、评估数据直接取材于市场、评估结果说服力强的特点。由于</w:t>
      </w:r>
      <w:r>
        <w:rPr>
          <w:rFonts w:hint="eastAsia"/>
          <w:color w:val="000000" w:themeColor="text1"/>
          <w:szCs w:val="24"/>
        </w:rPr>
        <w:t>被评估单位体量较小</w:t>
      </w:r>
      <w:r>
        <w:rPr>
          <w:color w:val="000000" w:themeColor="text1"/>
          <w:szCs w:val="24"/>
        </w:rPr>
        <w:t>，可比上市公司或交易案例与评估对象的相似程度较难准确量化和修正，因此市场法评估结果的准确性较难准确考量，而且市场法基于基准日资本市场的时点影响进行估值而未考虑市场周期性波动的影响，本次评估不适用市场法。</w:t>
      </w:r>
    </w:p>
    <w:p>
      <w:pPr>
        <w:pStyle w:val="5"/>
        <w:rPr>
          <w:color w:val="000000" w:themeColor="text1"/>
          <w:szCs w:val="24"/>
        </w:rPr>
      </w:pPr>
      <w:r>
        <w:rPr>
          <w:color w:val="000000" w:themeColor="text1"/>
          <w:szCs w:val="24"/>
        </w:rPr>
        <w:t>因此，本次评估选用资产基础法进行评估。</w:t>
      </w:r>
    </w:p>
    <w:p>
      <w:pPr>
        <w:pStyle w:val="5"/>
        <w:rPr>
          <w:color w:val="000000" w:themeColor="text1"/>
          <w:szCs w:val="24"/>
        </w:rPr>
      </w:pPr>
      <w:r>
        <w:rPr>
          <w:b/>
          <w:color w:val="000000" w:themeColor="text1"/>
          <w:szCs w:val="24"/>
        </w:rPr>
        <w:t>（三）</w:t>
      </w:r>
      <w:r>
        <w:rPr>
          <w:rFonts w:hint="eastAsia"/>
          <w:b/>
          <w:color w:val="000000" w:themeColor="text1"/>
          <w:szCs w:val="24"/>
        </w:rPr>
        <w:t>资产基础法评估方法介绍：</w:t>
      </w:r>
    </w:p>
    <w:p>
      <w:pPr>
        <w:pStyle w:val="5"/>
        <w:adjustRightInd/>
        <w:ind w:firstLine="480" w:firstLineChars="200"/>
        <w:rPr>
          <w:color w:val="000000" w:themeColor="text1"/>
          <w:szCs w:val="24"/>
        </w:rPr>
      </w:pPr>
      <w:r>
        <w:rPr>
          <w:color w:val="000000" w:themeColor="text1"/>
          <w:szCs w:val="24"/>
        </w:rPr>
        <w:t>各类资产及负债的评估过程说明如下：</w:t>
      </w:r>
    </w:p>
    <w:p>
      <w:pPr>
        <w:pStyle w:val="5"/>
        <w:tabs>
          <w:tab w:val="left" w:pos="567"/>
          <w:tab w:val="left" w:pos="709"/>
          <w:tab w:val="left" w:pos="1134"/>
        </w:tabs>
        <w:adjustRightInd/>
        <w:ind w:left="480" w:firstLine="0"/>
        <w:rPr>
          <w:b/>
          <w:color w:val="000000" w:themeColor="text1"/>
          <w:szCs w:val="24"/>
        </w:rPr>
      </w:pPr>
      <w:r>
        <w:rPr>
          <w:b/>
          <w:color w:val="000000" w:themeColor="text1"/>
          <w:szCs w:val="24"/>
        </w:rPr>
        <w:t>流动资产及负债的评估</w:t>
      </w:r>
    </w:p>
    <w:p>
      <w:pPr>
        <w:pStyle w:val="5"/>
        <w:adjustRightInd/>
        <w:ind w:firstLine="480" w:firstLineChars="200"/>
        <w:rPr>
          <w:color w:val="000000" w:themeColor="text1"/>
          <w:szCs w:val="24"/>
        </w:rPr>
      </w:pPr>
      <w:r>
        <w:rPr>
          <w:color w:val="000000" w:themeColor="text1"/>
          <w:szCs w:val="24"/>
        </w:rPr>
        <w:t>被评估单位流动资产</w:t>
      </w:r>
      <w:r>
        <w:rPr>
          <w:rFonts w:hint="eastAsia"/>
          <w:color w:val="000000" w:themeColor="text1"/>
          <w:szCs w:val="24"/>
        </w:rPr>
        <w:t>为</w:t>
      </w:r>
      <w:r>
        <w:rPr>
          <w:color w:val="000000" w:themeColor="text1"/>
          <w:szCs w:val="24"/>
        </w:rPr>
        <w:t>货币资金</w:t>
      </w:r>
      <w:r>
        <w:rPr>
          <w:rFonts w:hint="eastAsia"/>
          <w:color w:val="000000" w:themeColor="text1"/>
          <w:szCs w:val="24"/>
        </w:rPr>
        <w:t>，</w:t>
      </w:r>
      <w:r>
        <w:rPr>
          <w:color w:val="000000" w:themeColor="text1"/>
          <w:szCs w:val="24"/>
        </w:rPr>
        <w:t>负债</w:t>
      </w:r>
      <w:r>
        <w:rPr>
          <w:rFonts w:hint="eastAsia"/>
          <w:color w:val="000000" w:themeColor="text1"/>
          <w:szCs w:val="24"/>
        </w:rPr>
        <w:t>为</w:t>
      </w:r>
      <w:r>
        <w:rPr>
          <w:color w:val="000000" w:themeColor="text1"/>
          <w:szCs w:val="24"/>
        </w:rPr>
        <w:t>其他应付款</w:t>
      </w:r>
      <w:r>
        <w:rPr>
          <w:rFonts w:hint="eastAsia"/>
          <w:color w:val="000000" w:themeColor="text1"/>
          <w:szCs w:val="24"/>
        </w:rPr>
        <w:t>。</w:t>
      </w:r>
    </w:p>
    <w:p>
      <w:pPr>
        <w:pStyle w:val="5"/>
        <w:tabs>
          <w:tab w:val="left" w:pos="0"/>
          <w:tab w:val="left" w:pos="284"/>
          <w:tab w:val="left" w:pos="1134"/>
          <w:tab w:val="left" w:pos="1935"/>
        </w:tabs>
        <w:adjustRightInd/>
        <w:ind w:left="482" w:firstLine="480" w:firstLineChars="200"/>
        <w:rPr>
          <w:color w:val="000000" w:themeColor="text1"/>
          <w:szCs w:val="24"/>
        </w:rPr>
      </w:pPr>
      <w:r>
        <w:rPr>
          <w:rFonts w:hint="eastAsia"/>
          <w:color w:val="000000" w:themeColor="text1"/>
          <w:szCs w:val="24"/>
        </w:rPr>
        <w:t>1.</w:t>
      </w:r>
      <w:r>
        <w:rPr>
          <w:color w:val="000000" w:themeColor="text1"/>
          <w:szCs w:val="24"/>
        </w:rPr>
        <w:t>货币资金包括库存现金和银行存款，通过</w:t>
      </w:r>
      <w:r>
        <w:rPr>
          <w:rFonts w:hint="eastAsia"/>
          <w:color w:val="000000" w:themeColor="text1"/>
          <w:szCs w:val="24"/>
        </w:rPr>
        <w:t>现金盘点及</w:t>
      </w:r>
      <w:r>
        <w:rPr>
          <w:color w:val="000000" w:themeColor="text1"/>
          <w:szCs w:val="24"/>
        </w:rPr>
        <w:t>核实银行对账单、银行函证等，以核实后的价值确定评估值。</w:t>
      </w:r>
    </w:p>
    <w:p>
      <w:pPr>
        <w:pStyle w:val="5"/>
        <w:tabs>
          <w:tab w:val="left" w:pos="284"/>
          <w:tab w:val="left" w:pos="517"/>
          <w:tab w:val="left" w:pos="1134"/>
          <w:tab w:val="left" w:pos="1935"/>
        </w:tabs>
        <w:adjustRightInd/>
        <w:ind w:left="482" w:firstLine="480" w:firstLineChars="200"/>
        <w:rPr>
          <w:color w:val="000000" w:themeColor="text1"/>
          <w:szCs w:val="24"/>
        </w:rPr>
      </w:pPr>
      <w:r>
        <w:rPr>
          <w:rFonts w:hint="eastAsia"/>
          <w:color w:val="000000" w:themeColor="text1"/>
          <w:szCs w:val="24"/>
        </w:rPr>
        <w:t>2.</w:t>
      </w:r>
      <w:r>
        <w:rPr>
          <w:color w:val="000000" w:themeColor="text1"/>
          <w:szCs w:val="24"/>
        </w:rPr>
        <w:t>负债：各类负债在查阅核实的基础上，根据评估目的实现后的被评估企业实际需要承担的负债项目及金额确定评估值。对于负债中并非实际需要承担的负债项目，按零值计算。</w:t>
      </w:r>
    </w:p>
    <w:bookmarkEnd w:id="36"/>
    <w:p>
      <w:pPr>
        <w:pStyle w:val="4"/>
        <w:spacing w:before="0" w:after="100" w:afterAutospacing="1" w:line="600" w:lineRule="exact"/>
        <w:ind w:firstLine="482" w:firstLineChars="200"/>
        <w:rPr>
          <w:color w:val="000000" w:themeColor="text1"/>
          <w:sz w:val="24"/>
          <w:szCs w:val="24"/>
        </w:rPr>
      </w:pPr>
      <w:bookmarkStart w:id="39" w:name="_Toc92353675"/>
      <w:bookmarkStart w:id="40" w:name="_Toc24640727"/>
      <w:bookmarkStart w:id="41" w:name="_Toc403664414"/>
      <w:r>
        <w:rPr>
          <w:color w:val="000000" w:themeColor="text1"/>
          <w:sz w:val="24"/>
          <w:szCs w:val="24"/>
        </w:rPr>
        <w:t>八、评估程序实施过程和情况</w:t>
      </w:r>
      <w:bookmarkEnd w:id="39"/>
      <w:bookmarkEnd w:id="40"/>
    </w:p>
    <w:p>
      <w:pPr>
        <w:pStyle w:val="5"/>
        <w:ind w:firstLine="480" w:firstLineChars="200"/>
        <w:rPr>
          <w:color w:val="000000" w:themeColor="text1"/>
          <w:szCs w:val="24"/>
        </w:rPr>
      </w:pPr>
      <w:r>
        <w:rPr>
          <w:color w:val="000000" w:themeColor="text1"/>
          <w:szCs w:val="24"/>
        </w:rPr>
        <w:t>根据国家有关部门关于资产评估的规定和会计核算的一般原则，依据国家有关部门相关法律规定和规范化要求，按照与</w:t>
      </w:r>
      <w:r>
        <w:rPr>
          <w:rFonts w:hint="eastAsia"/>
          <w:color w:val="000000" w:themeColor="text1"/>
          <w:szCs w:val="24"/>
        </w:rPr>
        <w:t>被评估单位</w:t>
      </w:r>
      <w:r>
        <w:rPr>
          <w:color w:val="000000" w:themeColor="text1"/>
          <w:szCs w:val="24"/>
        </w:rPr>
        <w:t>的</w:t>
      </w:r>
      <w:r>
        <w:rPr>
          <w:rFonts w:hint="eastAsia"/>
          <w:color w:val="000000" w:themeColor="text1"/>
          <w:szCs w:val="24"/>
        </w:rPr>
        <w:t>《</w:t>
      </w:r>
      <w:r>
        <w:rPr>
          <w:color w:val="000000" w:themeColor="text1"/>
          <w:szCs w:val="24"/>
        </w:rPr>
        <w:t>资产评估</w:t>
      </w:r>
      <w:r>
        <w:rPr>
          <w:rFonts w:hint="eastAsia"/>
          <w:color w:val="000000" w:themeColor="text1"/>
          <w:szCs w:val="24"/>
        </w:rPr>
        <w:t>委托</w:t>
      </w:r>
      <w:r>
        <w:rPr>
          <w:color w:val="000000" w:themeColor="text1"/>
          <w:szCs w:val="24"/>
        </w:rPr>
        <w:t>合同</w:t>
      </w:r>
      <w:r>
        <w:rPr>
          <w:rFonts w:hint="eastAsia"/>
          <w:color w:val="000000" w:themeColor="text1"/>
          <w:szCs w:val="24"/>
        </w:rPr>
        <w:t>》</w:t>
      </w:r>
      <w:r>
        <w:rPr>
          <w:color w:val="000000" w:themeColor="text1"/>
          <w:szCs w:val="24"/>
        </w:rPr>
        <w:t>所约定的事项，</w:t>
      </w:r>
      <w:r>
        <w:rPr>
          <w:rFonts w:hint="eastAsia"/>
          <w:color w:val="000000" w:themeColor="text1"/>
          <w:szCs w:val="24"/>
        </w:rPr>
        <w:t>甘肃百诚资产评估事务所</w:t>
      </w:r>
      <w:r>
        <w:rPr>
          <w:color w:val="000000" w:themeColor="text1"/>
          <w:szCs w:val="24"/>
        </w:rPr>
        <w:t>已实施了对</w:t>
      </w:r>
      <w:r>
        <w:rPr>
          <w:rFonts w:hint="eastAsia"/>
          <w:color w:val="000000" w:themeColor="text1"/>
          <w:szCs w:val="24"/>
        </w:rPr>
        <w:t>被评估单位</w:t>
      </w:r>
      <w:r>
        <w:rPr>
          <w:color w:val="000000" w:themeColor="text1"/>
          <w:szCs w:val="24"/>
        </w:rPr>
        <w:t>提供的法律性文件与会计记录以及相关资料的验证审核，按被评估单位提交的资产清单，对相关资产进行了必要的产权查验、实地察看与核对，进行了必要的市场调查和交易价格的比较，以及财务分析和预测等其他有必要实施的资产评估程序。资产评估的详细过程如下：</w:t>
      </w:r>
    </w:p>
    <w:p>
      <w:pPr>
        <w:pStyle w:val="5"/>
        <w:ind w:firstLine="482" w:firstLineChars="200"/>
        <w:rPr>
          <w:b/>
          <w:bCs/>
          <w:color w:val="000000" w:themeColor="text1"/>
          <w:szCs w:val="24"/>
        </w:rPr>
      </w:pPr>
      <w:bookmarkStart w:id="42" w:name="_Toc3810868"/>
      <w:r>
        <w:rPr>
          <w:rFonts w:hint="eastAsia"/>
          <w:b/>
          <w:bCs/>
          <w:color w:val="000000" w:themeColor="text1"/>
          <w:szCs w:val="24"/>
        </w:rPr>
        <w:t>（一）接受委托及准备阶段</w:t>
      </w:r>
      <w:bookmarkEnd w:id="42"/>
    </w:p>
    <w:p>
      <w:pPr>
        <w:pStyle w:val="5"/>
        <w:ind w:firstLine="480" w:firstLineChars="200"/>
        <w:rPr>
          <w:color w:val="000000" w:themeColor="text1"/>
          <w:szCs w:val="24"/>
        </w:rPr>
      </w:pPr>
      <w:bookmarkStart w:id="43" w:name="_Toc3810869"/>
      <w:r>
        <w:rPr>
          <w:rFonts w:hint="eastAsia"/>
          <w:color w:val="000000" w:themeColor="text1"/>
          <w:szCs w:val="24"/>
        </w:rPr>
        <w:t>1. 甘肃百诚资产评估事务所接</w:t>
      </w:r>
      <w:r>
        <w:rPr>
          <w:color w:val="000000" w:themeColor="text1"/>
          <w:szCs w:val="24"/>
        </w:rPr>
        <w:t>受委托人的委托，从事本资产评估项目。在接受委托后，即与委托人就本次评估目的、评估对象与评估范围、评估基准日、委托评估资产的特点等影响资产评估方案的问题进行了认真讨论。</w:t>
      </w:r>
    </w:p>
    <w:p>
      <w:pPr>
        <w:pStyle w:val="5"/>
        <w:ind w:firstLine="480" w:firstLineChars="200"/>
        <w:rPr>
          <w:color w:val="000000" w:themeColor="text1"/>
          <w:szCs w:val="24"/>
        </w:rPr>
      </w:pPr>
      <w:r>
        <w:rPr>
          <w:rFonts w:hint="eastAsia"/>
          <w:color w:val="000000" w:themeColor="text1"/>
          <w:szCs w:val="24"/>
        </w:rPr>
        <w:t xml:space="preserve">2. </w:t>
      </w:r>
      <w:r>
        <w:rPr>
          <w:color w:val="000000" w:themeColor="text1"/>
          <w:szCs w:val="24"/>
        </w:rPr>
        <w:t>根据委托评估资产的特点，有针对性地布置资产评估申报明细表，并设计主要资产调查表，对</w:t>
      </w:r>
      <w:r>
        <w:rPr>
          <w:rFonts w:hint="eastAsia"/>
          <w:color w:val="000000" w:themeColor="text1"/>
          <w:szCs w:val="24"/>
        </w:rPr>
        <w:t>被评估单位</w:t>
      </w:r>
      <w:r>
        <w:rPr>
          <w:color w:val="000000" w:themeColor="text1"/>
          <w:szCs w:val="24"/>
        </w:rPr>
        <w:t>参与资产评估配合人员进行业务培训，填写资产评估清查表和各类调查表。</w:t>
      </w:r>
    </w:p>
    <w:p>
      <w:pPr>
        <w:pStyle w:val="5"/>
        <w:ind w:firstLine="480" w:firstLineChars="200"/>
        <w:rPr>
          <w:color w:val="000000" w:themeColor="text1"/>
          <w:szCs w:val="24"/>
        </w:rPr>
      </w:pPr>
      <w:r>
        <w:rPr>
          <w:rFonts w:hint="eastAsia"/>
          <w:color w:val="000000" w:themeColor="text1"/>
          <w:szCs w:val="24"/>
        </w:rPr>
        <w:t xml:space="preserve">3. </w:t>
      </w:r>
      <w:r>
        <w:rPr>
          <w:color w:val="000000" w:themeColor="text1"/>
          <w:szCs w:val="24"/>
        </w:rPr>
        <w:t>评估方案的设计</w:t>
      </w:r>
    </w:p>
    <w:p>
      <w:pPr>
        <w:pStyle w:val="5"/>
        <w:ind w:firstLine="480" w:firstLineChars="200"/>
        <w:rPr>
          <w:color w:val="000000" w:themeColor="text1"/>
          <w:szCs w:val="24"/>
        </w:rPr>
      </w:pPr>
      <w:r>
        <w:rPr>
          <w:color w:val="000000" w:themeColor="text1"/>
          <w:szCs w:val="24"/>
        </w:rPr>
        <w:t>依据了解资产的特点，制定评估实施计划，确定评估人员，组成资产评估现场工作小组。</w:t>
      </w:r>
    </w:p>
    <w:p>
      <w:pPr>
        <w:pStyle w:val="5"/>
        <w:ind w:firstLine="480" w:firstLineChars="200"/>
        <w:rPr>
          <w:color w:val="000000" w:themeColor="text1"/>
          <w:szCs w:val="24"/>
        </w:rPr>
      </w:pPr>
      <w:r>
        <w:rPr>
          <w:rFonts w:hint="eastAsia"/>
          <w:color w:val="000000" w:themeColor="text1"/>
          <w:szCs w:val="24"/>
        </w:rPr>
        <w:t xml:space="preserve">4. </w:t>
      </w:r>
      <w:r>
        <w:rPr>
          <w:color w:val="000000" w:themeColor="text1"/>
          <w:szCs w:val="24"/>
        </w:rPr>
        <w:t>评估资料的准备</w:t>
      </w:r>
    </w:p>
    <w:p>
      <w:pPr>
        <w:pStyle w:val="5"/>
        <w:ind w:firstLine="480" w:firstLineChars="200"/>
        <w:rPr>
          <w:color w:val="000000" w:themeColor="text1"/>
          <w:szCs w:val="24"/>
        </w:rPr>
      </w:pPr>
      <w:r>
        <w:rPr>
          <w:color w:val="000000" w:themeColor="text1"/>
          <w:szCs w:val="24"/>
        </w:rPr>
        <w:t>收集和整理评估对象市场交易价格信息、主要原料市场价格信息、评估对象产权证明文件等。</w:t>
      </w:r>
    </w:p>
    <w:p>
      <w:pPr>
        <w:pStyle w:val="5"/>
        <w:ind w:firstLine="482" w:firstLineChars="200"/>
        <w:rPr>
          <w:b/>
          <w:bCs/>
          <w:color w:val="000000" w:themeColor="text1"/>
          <w:szCs w:val="24"/>
        </w:rPr>
      </w:pPr>
      <w:r>
        <w:rPr>
          <w:rFonts w:hint="eastAsia"/>
          <w:b/>
          <w:bCs/>
          <w:color w:val="000000" w:themeColor="text1"/>
          <w:szCs w:val="24"/>
        </w:rPr>
        <w:t>（二）现场清查阶段</w:t>
      </w:r>
      <w:bookmarkEnd w:id="43"/>
    </w:p>
    <w:p>
      <w:pPr>
        <w:pStyle w:val="5"/>
        <w:ind w:firstLine="480" w:firstLineChars="200"/>
        <w:rPr>
          <w:color w:val="000000" w:themeColor="text1"/>
          <w:szCs w:val="24"/>
        </w:rPr>
      </w:pPr>
      <w:bookmarkStart w:id="44" w:name="_Toc3810871"/>
      <w:r>
        <w:rPr>
          <w:rFonts w:hint="eastAsia"/>
          <w:color w:val="000000" w:themeColor="text1"/>
          <w:szCs w:val="24"/>
        </w:rPr>
        <w:t>评估人员于2022年10月18日至2022年10月19日对评估对象涉及的资产和负债进行了必要的清查核实。</w:t>
      </w:r>
    </w:p>
    <w:p>
      <w:pPr>
        <w:pStyle w:val="5"/>
        <w:ind w:firstLine="480" w:firstLineChars="200"/>
        <w:rPr>
          <w:color w:val="000000" w:themeColor="text1"/>
          <w:szCs w:val="24"/>
        </w:rPr>
      </w:pPr>
      <w:r>
        <w:rPr>
          <w:rFonts w:hint="eastAsia"/>
          <w:color w:val="000000" w:themeColor="text1"/>
          <w:szCs w:val="24"/>
        </w:rPr>
        <w:t>1.指导被评估单位填表和准备应向评估机构提供的资料</w:t>
      </w:r>
    </w:p>
    <w:p>
      <w:pPr>
        <w:pStyle w:val="5"/>
        <w:ind w:firstLine="480" w:firstLineChars="200"/>
        <w:rPr>
          <w:color w:val="000000" w:themeColor="text1"/>
          <w:szCs w:val="24"/>
        </w:rPr>
      </w:pPr>
      <w:r>
        <w:rPr>
          <w:rFonts w:hint="eastAsia"/>
          <w:color w:val="000000" w:themeColor="text1"/>
          <w:szCs w:val="24"/>
        </w:rPr>
        <w:t>评估人员指导被评估单位的财务与资产管理人员在自行资产清査的基础上，按照评估机构提供的“资产评估申报表”及其填写要求、资料清单等，对纳入评估范围的资产进行细致准确的填报，同时收集准备资产的产权证明文件和反映性能、状态、经济技术指标等情况的文件资料等。</w:t>
      </w:r>
    </w:p>
    <w:p>
      <w:pPr>
        <w:pStyle w:val="5"/>
        <w:ind w:firstLineChars="175"/>
        <w:rPr>
          <w:color w:val="000000" w:themeColor="text1"/>
          <w:szCs w:val="24"/>
        </w:rPr>
      </w:pPr>
      <w:r>
        <w:rPr>
          <w:rFonts w:hint="eastAsia"/>
          <w:color w:val="000000" w:themeColor="text1"/>
          <w:szCs w:val="24"/>
        </w:rPr>
        <w:t>2.初步审查和完善被评估单位填报的资产评估申报表</w:t>
      </w:r>
    </w:p>
    <w:p>
      <w:pPr>
        <w:pStyle w:val="5"/>
        <w:ind w:firstLine="480" w:firstLineChars="200"/>
        <w:rPr>
          <w:color w:val="000000" w:themeColor="text1"/>
          <w:szCs w:val="24"/>
        </w:rPr>
      </w:pPr>
      <w:r>
        <w:rPr>
          <w:rFonts w:hint="eastAsia"/>
          <w:color w:val="000000" w:themeColor="text1"/>
          <w:szCs w:val="24"/>
        </w:rPr>
        <w:t>评估人员通过查阅有关资料，了解纳入评估范围的具体资产的详细状况，然后仔细审查各类“资产评估申报表”，检查有无填项不全、错填、资产项目不明确等情况，并根据经验及掌握的有关资料，检查“资产评估申报表”有无漏项等，同时反馈给被评估单位对“资产评估申报表”进行完善。</w:t>
      </w:r>
    </w:p>
    <w:p>
      <w:pPr>
        <w:pStyle w:val="5"/>
        <w:ind w:firstLineChars="175"/>
        <w:rPr>
          <w:color w:val="000000" w:themeColor="text1"/>
          <w:szCs w:val="24"/>
        </w:rPr>
      </w:pPr>
      <w:r>
        <w:rPr>
          <w:rFonts w:hint="eastAsia"/>
          <w:color w:val="000000" w:themeColor="text1"/>
          <w:szCs w:val="24"/>
        </w:rPr>
        <w:t>3.补充、修改和完善资产评估申报表</w:t>
      </w:r>
    </w:p>
    <w:p>
      <w:pPr>
        <w:pStyle w:val="5"/>
        <w:ind w:firstLine="480" w:firstLineChars="200"/>
        <w:rPr>
          <w:color w:val="000000" w:themeColor="text1"/>
          <w:szCs w:val="24"/>
        </w:rPr>
      </w:pPr>
      <w:r>
        <w:rPr>
          <w:rFonts w:hint="eastAsia"/>
          <w:color w:val="000000" w:themeColor="text1"/>
          <w:szCs w:val="24"/>
        </w:rPr>
        <w:t>评估人员根据现场实地勘査结果，并和被评估单位相关人员充分沟通，进一步完善“资产评估申报表”，以做到账、表、实相符。</w:t>
      </w:r>
    </w:p>
    <w:p>
      <w:pPr>
        <w:pStyle w:val="5"/>
        <w:ind w:firstLine="482" w:firstLineChars="200"/>
        <w:rPr>
          <w:b/>
          <w:bCs/>
          <w:color w:val="000000" w:themeColor="text1"/>
          <w:szCs w:val="24"/>
        </w:rPr>
      </w:pPr>
      <w:r>
        <w:rPr>
          <w:rFonts w:hint="eastAsia"/>
          <w:b/>
          <w:bCs/>
          <w:color w:val="000000" w:themeColor="text1"/>
          <w:szCs w:val="24"/>
        </w:rPr>
        <w:t>（三）资料收集</w:t>
      </w:r>
    </w:p>
    <w:p>
      <w:pPr>
        <w:pStyle w:val="5"/>
        <w:ind w:firstLine="480" w:firstLineChars="200"/>
        <w:rPr>
          <w:color w:val="000000" w:themeColor="text1"/>
          <w:szCs w:val="24"/>
        </w:rPr>
      </w:pPr>
      <w:r>
        <w:rPr>
          <w:rFonts w:hint="eastAsia"/>
          <w:color w:val="000000" w:themeColor="text1"/>
          <w:szCs w:val="24"/>
        </w:rPr>
        <w:t>评估人员根据评估项目的具体情况进行了评估资料收集，包括直接从市场等渠道独立获取的资料，从委托人、产权持有者等相关当事方获取的资料，以及从政府部门、各类专业机构和其他相关部门获取的资料，并对收集的评估资料进行了必要分析、归纳和整理，形成评定估算的依据。</w:t>
      </w:r>
    </w:p>
    <w:p>
      <w:pPr>
        <w:pStyle w:val="5"/>
        <w:ind w:firstLine="482" w:firstLineChars="200"/>
        <w:rPr>
          <w:b/>
          <w:bCs/>
          <w:color w:val="000000" w:themeColor="text1"/>
          <w:szCs w:val="24"/>
        </w:rPr>
      </w:pPr>
      <w:r>
        <w:rPr>
          <w:rFonts w:hint="eastAsia"/>
          <w:b/>
          <w:bCs/>
          <w:color w:val="000000" w:themeColor="text1"/>
          <w:szCs w:val="24"/>
        </w:rPr>
        <w:t>（四）评定估算</w:t>
      </w:r>
    </w:p>
    <w:p>
      <w:pPr>
        <w:pStyle w:val="5"/>
        <w:ind w:firstLine="480" w:firstLineChars="200"/>
        <w:rPr>
          <w:color w:val="000000" w:themeColor="text1"/>
          <w:szCs w:val="24"/>
        </w:rPr>
      </w:pPr>
      <w:r>
        <w:rPr>
          <w:rFonts w:hint="eastAsia"/>
          <w:color w:val="000000" w:themeColor="text1"/>
          <w:szCs w:val="24"/>
        </w:rPr>
        <w:t>评估人员针对各类资产的具体情况，根据选用的评估方法，选取相应的公式和参数进行分析、计算和判断，形成了初步评估结论。项目负责人对各类资产评估初步结论进行汇总，撰写并形成资产评估报告草稿。</w:t>
      </w:r>
    </w:p>
    <w:p>
      <w:pPr>
        <w:pStyle w:val="5"/>
        <w:ind w:firstLine="482" w:firstLineChars="200"/>
        <w:rPr>
          <w:b/>
          <w:bCs/>
          <w:color w:val="000000" w:themeColor="text1"/>
          <w:szCs w:val="24"/>
        </w:rPr>
      </w:pPr>
      <w:r>
        <w:rPr>
          <w:rFonts w:hint="eastAsia"/>
          <w:b/>
          <w:bCs/>
          <w:color w:val="000000" w:themeColor="text1"/>
          <w:szCs w:val="24"/>
        </w:rPr>
        <w:t>（五）内部审核及报告出具</w:t>
      </w:r>
    </w:p>
    <w:p>
      <w:pPr>
        <w:pStyle w:val="5"/>
        <w:ind w:firstLine="480" w:firstLineChars="200"/>
        <w:rPr>
          <w:color w:val="000000" w:themeColor="text1"/>
          <w:szCs w:val="24"/>
        </w:rPr>
      </w:pPr>
      <w:r>
        <w:rPr>
          <w:rFonts w:hint="eastAsia"/>
          <w:color w:val="000000" w:themeColor="text1"/>
          <w:szCs w:val="24"/>
        </w:rPr>
        <w:t>项目负责人在完成一审后，将报告初稿提交我所审核，经过我所内部审核后评估结果与委托人及被评估单位进行沟通和汇报。根据沟通意见进行修改、完善后，将正式资产评估报告提交给委托人。</w:t>
      </w:r>
    </w:p>
    <w:bookmarkEnd w:id="44"/>
    <w:p>
      <w:pPr>
        <w:pStyle w:val="4"/>
        <w:spacing w:before="0" w:after="100" w:afterAutospacing="1" w:line="600" w:lineRule="exact"/>
        <w:ind w:firstLine="482" w:firstLineChars="200"/>
        <w:rPr>
          <w:color w:val="000000" w:themeColor="text1"/>
          <w:sz w:val="24"/>
          <w:szCs w:val="24"/>
        </w:rPr>
      </w:pPr>
      <w:bookmarkStart w:id="45" w:name="_Toc24640728"/>
      <w:bookmarkStart w:id="46" w:name="_Toc92353676"/>
      <w:r>
        <w:rPr>
          <w:color w:val="000000" w:themeColor="text1"/>
          <w:sz w:val="24"/>
          <w:szCs w:val="24"/>
        </w:rPr>
        <w:t>九、评估假设</w:t>
      </w:r>
      <w:bookmarkEnd w:id="45"/>
      <w:bookmarkEnd w:id="46"/>
    </w:p>
    <w:p>
      <w:pPr>
        <w:pStyle w:val="5"/>
        <w:ind w:firstLine="482" w:firstLineChars="200"/>
        <w:rPr>
          <w:color w:val="000000" w:themeColor="text1"/>
          <w:szCs w:val="24"/>
        </w:rPr>
      </w:pPr>
      <w:r>
        <w:rPr>
          <w:rFonts w:hint="eastAsia"/>
          <w:b/>
          <w:bCs/>
          <w:color w:val="000000" w:themeColor="text1"/>
          <w:szCs w:val="24"/>
        </w:rPr>
        <w:t>（一）</w:t>
      </w:r>
      <w:r>
        <w:rPr>
          <w:color w:val="000000" w:themeColor="text1"/>
          <w:szCs w:val="24"/>
        </w:rPr>
        <w:t>交易假设：假定所有待评估资产已经处在交易过程中，评估师根据待评估资产的交易条件等模拟市场进行估价</w:t>
      </w:r>
      <w:r>
        <w:rPr>
          <w:rFonts w:hint="eastAsia"/>
          <w:color w:val="000000" w:themeColor="text1"/>
          <w:szCs w:val="24"/>
        </w:rPr>
        <w:t>；</w:t>
      </w:r>
    </w:p>
    <w:p>
      <w:pPr>
        <w:pStyle w:val="5"/>
        <w:ind w:firstLine="482" w:firstLineChars="200"/>
        <w:rPr>
          <w:color w:val="000000" w:themeColor="text1"/>
          <w:szCs w:val="24"/>
        </w:rPr>
      </w:pPr>
      <w:r>
        <w:rPr>
          <w:rFonts w:hint="eastAsia"/>
          <w:b/>
          <w:bCs/>
          <w:color w:val="000000" w:themeColor="text1"/>
          <w:szCs w:val="24"/>
        </w:rPr>
        <w:t>（二）</w:t>
      </w:r>
      <w:r>
        <w:rPr>
          <w:color w:val="000000" w:themeColor="text1"/>
          <w:szCs w:val="24"/>
        </w:rPr>
        <w:t>公开市场假设：公开市场假设是对资产拟进入的市场的条件以及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r>
        <w:rPr>
          <w:rFonts w:hint="eastAsia"/>
          <w:color w:val="000000" w:themeColor="text1"/>
          <w:szCs w:val="24"/>
        </w:rPr>
        <w:t>；</w:t>
      </w:r>
    </w:p>
    <w:p>
      <w:pPr>
        <w:pStyle w:val="5"/>
        <w:ind w:firstLine="482" w:firstLineChars="200"/>
        <w:rPr>
          <w:color w:val="000000" w:themeColor="text1"/>
          <w:szCs w:val="24"/>
        </w:rPr>
      </w:pPr>
      <w:r>
        <w:rPr>
          <w:rFonts w:hint="eastAsia"/>
          <w:b/>
          <w:bCs/>
          <w:color w:val="000000" w:themeColor="text1"/>
          <w:szCs w:val="24"/>
        </w:rPr>
        <w:t>（三）</w:t>
      </w:r>
      <w:r>
        <w:rPr>
          <w:color w:val="000000" w:themeColor="text1"/>
          <w:szCs w:val="24"/>
        </w:rPr>
        <w:t>持续经营假设：是将企业股东全部权益价值作为评估对象而作出的评估假定。即企业作为经营主体，在所处的外部环境下，按照经营目标，持续经营下去。企业经营者负责并有能力担当责任；企业合法经营，并能够获取适当利润，以维持持续经营能力。</w:t>
      </w:r>
    </w:p>
    <w:bookmarkEnd w:id="41"/>
    <w:p>
      <w:pPr>
        <w:pStyle w:val="4"/>
        <w:spacing w:before="0" w:after="0" w:line="600" w:lineRule="exact"/>
        <w:rPr>
          <w:color w:val="000000" w:themeColor="text1"/>
          <w:sz w:val="24"/>
          <w:szCs w:val="24"/>
        </w:rPr>
      </w:pPr>
      <w:bookmarkStart w:id="47" w:name="_Toc24640729"/>
      <w:bookmarkStart w:id="48" w:name="_Toc92353677"/>
      <w:bookmarkStart w:id="49" w:name="_Toc403664415"/>
      <w:bookmarkStart w:id="50" w:name="_Toc186555678"/>
      <w:bookmarkStart w:id="51" w:name="_Toc186357222"/>
      <w:r>
        <w:rPr>
          <w:color w:val="000000" w:themeColor="text1"/>
          <w:sz w:val="24"/>
          <w:szCs w:val="24"/>
        </w:rPr>
        <w:t>十、评估结论</w:t>
      </w:r>
      <w:bookmarkEnd w:id="47"/>
      <w:bookmarkEnd w:id="48"/>
    </w:p>
    <w:bookmarkEnd w:id="49"/>
    <w:bookmarkEnd w:id="50"/>
    <w:bookmarkEnd w:id="51"/>
    <w:p>
      <w:pPr>
        <w:pStyle w:val="5"/>
        <w:spacing w:line="500" w:lineRule="exact"/>
        <w:ind w:firstLine="480"/>
        <w:rPr>
          <w:szCs w:val="24"/>
        </w:rPr>
      </w:pPr>
      <w:bookmarkStart w:id="52" w:name="_Toc186357223"/>
      <w:bookmarkStart w:id="53" w:name="_Toc477576902"/>
      <w:bookmarkStart w:id="54" w:name="_Toc186555679"/>
      <w:r>
        <w:rPr>
          <w:szCs w:val="24"/>
        </w:rPr>
        <w:t>天水长城低压电器有限公司</w:t>
      </w:r>
      <w:r>
        <w:rPr>
          <w:rFonts w:hint="eastAsia"/>
          <w:color w:val="000000" w:themeColor="text1"/>
        </w:rPr>
        <w:t>总资产账面值</w:t>
      </w:r>
      <w:r>
        <w:rPr>
          <w:color w:val="000000" w:themeColor="text1"/>
        </w:rPr>
        <w:t>0.56</w:t>
      </w:r>
      <w:r>
        <w:rPr>
          <w:rFonts w:hint="eastAsia"/>
          <w:color w:val="000000" w:themeColor="text1"/>
        </w:rPr>
        <w:t>万元；总负债账面值</w:t>
      </w:r>
      <w:r>
        <w:rPr>
          <w:color w:val="000000" w:themeColor="text1"/>
        </w:rPr>
        <w:t>0.20</w:t>
      </w:r>
      <w:r>
        <w:rPr>
          <w:rFonts w:hint="eastAsia"/>
          <w:color w:val="000000" w:themeColor="text1"/>
        </w:rPr>
        <w:t>万元，净资产账面值</w:t>
      </w:r>
      <w:r>
        <w:rPr>
          <w:color w:val="000000" w:themeColor="text1"/>
        </w:rPr>
        <w:t>0.36</w:t>
      </w:r>
      <w:r>
        <w:rPr>
          <w:rFonts w:hint="eastAsia"/>
          <w:color w:val="000000" w:themeColor="text1"/>
        </w:rPr>
        <w:t>万元</w:t>
      </w:r>
      <w:r>
        <w:rPr>
          <w:szCs w:val="24"/>
        </w:rPr>
        <w:t>。</w:t>
      </w:r>
    </w:p>
    <w:p>
      <w:pPr>
        <w:pStyle w:val="5"/>
        <w:spacing w:line="500" w:lineRule="exact"/>
        <w:ind w:firstLine="480"/>
        <w:rPr>
          <w:szCs w:val="24"/>
        </w:rPr>
      </w:pPr>
      <w:r>
        <w:rPr>
          <w:szCs w:val="24"/>
        </w:rPr>
        <w:t>采用资产基础法评估后的总资产为</w:t>
      </w:r>
      <w:r>
        <w:rPr>
          <w:color w:val="000000" w:themeColor="text1"/>
        </w:rPr>
        <w:t>0.56</w:t>
      </w:r>
      <w:r>
        <w:rPr>
          <w:szCs w:val="24"/>
        </w:rPr>
        <w:t>万元，负债为</w:t>
      </w:r>
      <w:r>
        <w:rPr>
          <w:color w:val="000000" w:themeColor="text1"/>
        </w:rPr>
        <w:t>0.20</w:t>
      </w:r>
      <w:r>
        <w:rPr>
          <w:szCs w:val="24"/>
        </w:rPr>
        <w:t>万元，净资产为</w:t>
      </w:r>
      <w:r>
        <w:rPr>
          <w:color w:val="000000" w:themeColor="text1"/>
        </w:rPr>
        <w:t>0.36</w:t>
      </w:r>
      <w:r>
        <w:rPr>
          <w:szCs w:val="24"/>
        </w:rPr>
        <w:t>万元。</w:t>
      </w:r>
    </w:p>
    <w:p>
      <w:pPr>
        <w:pStyle w:val="5"/>
        <w:spacing w:line="500" w:lineRule="exact"/>
        <w:ind w:firstLine="480"/>
        <w:rPr>
          <w:color w:val="000000" w:themeColor="text1"/>
        </w:rPr>
      </w:pPr>
      <w:r>
        <w:rPr>
          <w:color w:val="000000" w:themeColor="text1"/>
        </w:rPr>
        <w:t>评估汇总情况详见下表：</w:t>
      </w:r>
    </w:p>
    <w:p>
      <w:pPr>
        <w:pStyle w:val="5"/>
        <w:ind w:firstLine="0"/>
        <w:jc w:val="center"/>
        <w:rPr>
          <w:color w:val="000000" w:themeColor="text1"/>
        </w:rPr>
      </w:pPr>
      <w:r>
        <w:rPr>
          <w:color w:val="000000" w:themeColor="text1"/>
        </w:rPr>
        <w:t>资产评估结果汇总表</w:t>
      </w:r>
    </w:p>
    <w:p>
      <w:pPr>
        <w:adjustRightInd w:val="0"/>
        <w:spacing w:line="288" w:lineRule="auto"/>
        <w:jc w:val="right"/>
        <w:rPr>
          <w:color w:val="000000" w:themeColor="text1"/>
          <w:kern w:val="0"/>
          <w:sz w:val="21"/>
          <w:szCs w:val="21"/>
        </w:rPr>
      </w:pPr>
      <w:r>
        <w:rPr>
          <w:color w:val="000000" w:themeColor="text1"/>
          <w:kern w:val="0"/>
          <w:sz w:val="21"/>
          <w:szCs w:val="21"/>
        </w:rPr>
        <w:t>金额单位：人民币万元</w:t>
      </w:r>
    </w:p>
    <w:tbl>
      <w:tblPr>
        <w:tblStyle w:val="31"/>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435"/>
        <w:gridCol w:w="1491"/>
        <w:gridCol w:w="1599"/>
        <w:gridCol w:w="1744"/>
        <w:gridCol w:w="14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blHeader/>
        </w:trPr>
        <w:tc>
          <w:tcPr>
            <w:tcW w:w="1396" w:type="pct"/>
            <w:shd w:val="clear" w:color="auto" w:fill="auto"/>
          </w:tcPr>
          <w:p>
            <w:pPr>
              <w:adjustRightInd w:val="0"/>
              <w:spacing w:before="60" w:after="60" w:line="312" w:lineRule="atLeast"/>
              <w:jc w:val="center"/>
              <w:textAlignment w:val="baseline"/>
              <w:rPr>
                <w:b/>
                <w:kern w:val="0"/>
                <w:sz w:val="20"/>
              </w:rPr>
            </w:pPr>
            <w:r>
              <w:rPr>
                <w:b/>
                <w:kern w:val="0"/>
                <w:sz w:val="20"/>
              </w:rPr>
              <w:t>项目名称</w:t>
            </w:r>
          </w:p>
        </w:tc>
        <w:tc>
          <w:tcPr>
            <w:tcW w:w="855" w:type="pct"/>
            <w:shd w:val="clear" w:color="auto" w:fill="auto"/>
          </w:tcPr>
          <w:p>
            <w:pPr>
              <w:adjustRightInd w:val="0"/>
              <w:spacing w:before="60" w:after="60" w:line="312" w:lineRule="atLeast"/>
              <w:jc w:val="center"/>
              <w:textAlignment w:val="baseline"/>
              <w:rPr>
                <w:b/>
                <w:kern w:val="0"/>
                <w:sz w:val="20"/>
              </w:rPr>
            </w:pPr>
            <w:r>
              <w:rPr>
                <w:b/>
                <w:kern w:val="0"/>
                <w:sz w:val="20"/>
              </w:rPr>
              <w:t>账面价值</w:t>
            </w:r>
          </w:p>
        </w:tc>
        <w:tc>
          <w:tcPr>
            <w:tcW w:w="917" w:type="pct"/>
            <w:shd w:val="clear" w:color="auto" w:fill="auto"/>
          </w:tcPr>
          <w:p>
            <w:pPr>
              <w:adjustRightInd w:val="0"/>
              <w:spacing w:before="60" w:after="60" w:line="312" w:lineRule="atLeast"/>
              <w:jc w:val="center"/>
              <w:textAlignment w:val="baseline"/>
              <w:rPr>
                <w:b/>
                <w:kern w:val="0"/>
                <w:sz w:val="20"/>
              </w:rPr>
            </w:pPr>
            <w:r>
              <w:rPr>
                <w:b/>
                <w:kern w:val="0"/>
                <w:sz w:val="20"/>
              </w:rPr>
              <w:t>评估价值</w:t>
            </w:r>
          </w:p>
        </w:tc>
        <w:tc>
          <w:tcPr>
            <w:tcW w:w="1000" w:type="pct"/>
          </w:tcPr>
          <w:p>
            <w:pPr>
              <w:adjustRightInd w:val="0"/>
              <w:spacing w:before="60" w:after="60" w:line="312" w:lineRule="atLeast"/>
              <w:jc w:val="center"/>
              <w:textAlignment w:val="baseline"/>
              <w:rPr>
                <w:b/>
                <w:kern w:val="0"/>
                <w:sz w:val="20"/>
              </w:rPr>
            </w:pPr>
            <w:r>
              <w:rPr>
                <w:b/>
                <w:kern w:val="0"/>
                <w:sz w:val="20"/>
              </w:rPr>
              <w:t>增减值</w:t>
            </w:r>
          </w:p>
        </w:tc>
        <w:tc>
          <w:tcPr>
            <w:tcW w:w="832" w:type="pct"/>
            <w:shd w:val="clear" w:color="auto" w:fill="auto"/>
          </w:tcPr>
          <w:p>
            <w:pPr>
              <w:adjustRightInd w:val="0"/>
              <w:spacing w:before="60" w:after="60" w:line="312" w:lineRule="atLeast"/>
              <w:jc w:val="center"/>
              <w:textAlignment w:val="baseline"/>
              <w:rPr>
                <w:b/>
                <w:kern w:val="0"/>
                <w:sz w:val="20"/>
              </w:rPr>
            </w:pPr>
            <w:r>
              <w:rPr>
                <w:b/>
                <w:kern w:val="0"/>
                <w:sz w:val="20"/>
              </w:rPr>
              <w:t>增值率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流动资产</w:t>
            </w:r>
          </w:p>
        </w:tc>
        <w:tc>
          <w:tcPr>
            <w:tcW w:w="855" w:type="pct"/>
            <w:shd w:val="clear" w:color="auto" w:fill="auto"/>
            <w:vAlign w:val="center"/>
          </w:tcPr>
          <w:p>
            <w:pPr>
              <w:jc w:val="right"/>
              <w:rPr>
                <w:sz w:val="20"/>
              </w:rPr>
            </w:pPr>
            <w:r>
              <w:rPr>
                <w:sz w:val="20"/>
              </w:rPr>
              <w:t>0.56</w:t>
            </w:r>
          </w:p>
        </w:tc>
        <w:tc>
          <w:tcPr>
            <w:tcW w:w="917" w:type="pct"/>
            <w:shd w:val="clear" w:color="auto" w:fill="auto"/>
            <w:vAlign w:val="center"/>
          </w:tcPr>
          <w:p>
            <w:pPr>
              <w:jc w:val="right"/>
              <w:rPr>
                <w:sz w:val="20"/>
              </w:rPr>
            </w:pPr>
            <w:r>
              <w:rPr>
                <w:sz w:val="20"/>
              </w:rPr>
              <w:t>0.56</w:t>
            </w:r>
          </w:p>
        </w:tc>
        <w:tc>
          <w:tcPr>
            <w:tcW w:w="1000" w:type="pct"/>
            <w:vAlign w:val="center"/>
          </w:tcPr>
          <w:p>
            <w:pPr>
              <w:jc w:val="right"/>
              <w:rPr>
                <w:sz w:val="20"/>
              </w:rPr>
            </w:pPr>
            <w:r>
              <w:rPr>
                <w:sz w:val="20"/>
              </w:rPr>
              <w:t>-</w:t>
            </w:r>
          </w:p>
        </w:tc>
        <w:tc>
          <w:tcPr>
            <w:tcW w:w="832" w:type="pct"/>
            <w:shd w:val="clear" w:color="auto" w:fill="auto"/>
            <w:vAlign w:val="center"/>
          </w:tcPr>
          <w:p>
            <w:pPr>
              <w:jc w:val="right"/>
              <w:rPr>
                <w:sz w:val="20"/>
              </w:rPr>
            </w:pPr>
            <w:r>
              <w:rPr>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非流动资产</w:t>
            </w:r>
          </w:p>
        </w:tc>
        <w:tc>
          <w:tcPr>
            <w:tcW w:w="855" w:type="pct"/>
            <w:shd w:val="clear" w:color="auto" w:fill="auto"/>
            <w:vAlign w:val="center"/>
          </w:tcPr>
          <w:p>
            <w:pPr>
              <w:jc w:val="right"/>
              <w:rPr>
                <w:sz w:val="20"/>
              </w:rPr>
            </w:pPr>
          </w:p>
        </w:tc>
        <w:tc>
          <w:tcPr>
            <w:tcW w:w="917" w:type="pct"/>
            <w:shd w:val="clear" w:color="auto" w:fill="auto"/>
            <w:vAlign w:val="center"/>
          </w:tcPr>
          <w:p>
            <w:pPr>
              <w:jc w:val="right"/>
              <w:rPr>
                <w:sz w:val="20"/>
              </w:rPr>
            </w:pPr>
          </w:p>
        </w:tc>
        <w:tc>
          <w:tcPr>
            <w:tcW w:w="1000"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其中：长期股权投资</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投资性房地产</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固定资产</w:t>
            </w:r>
          </w:p>
        </w:tc>
        <w:tc>
          <w:tcPr>
            <w:tcW w:w="855" w:type="pct"/>
            <w:shd w:val="clear" w:color="auto" w:fill="auto"/>
            <w:vAlign w:val="center"/>
          </w:tcPr>
          <w:p>
            <w:pPr>
              <w:jc w:val="right"/>
              <w:rPr>
                <w:sz w:val="20"/>
              </w:rPr>
            </w:pPr>
          </w:p>
        </w:tc>
        <w:tc>
          <w:tcPr>
            <w:tcW w:w="917" w:type="pct"/>
            <w:shd w:val="clear" w:color="auto" w:fill="auto"/>
            <w:vAlign w:val="center"/>
          </w:tcPr>
          <w:p>
            <w:pPr>
              <w:jc w:val="right"/>
              <w:rPr>
                <w:sz w:val="20"/>
              </w:rPr>
            </w:pPr>
          </w:p>
        </w:tc>
        <w:tc>
          <w:tcPr>
            <w:tcW w:w="1000"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在建工程</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600" w:firstLineChars="300"/>
              <w:textAlignment w:val="baseline"/>
              <w:rPr>
                <w:kern w:val="0"/>
                <w:sz w:val="20"/>
              </w:rPr>
            </w:pPr>
            <w:r>
              <w:rPr>
                <w:kern w:val="0"/>
                <w:sz w:val="20"/>
              </w:rPr>
              <w:t>无形资产</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700" w:firstLineChars="350"/>
              <w:textAlignment w:val="baseline"/>
              <w:rPr>
                <w:kern w:val="0"/>
                <w:sz w:val="20"/>
              </w:rPr>
            </w:pPr>
            <w:r>
              <w:rPr>
                <w:rFonts w:hint="eastAsia"/>
                <w:kern w:val="0"/>
                <w:sz w:val="20"/>
              </w:rPr>
              <w:t>长期待摊费用</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500" w:firstLineChars="250"/>
              <w:textAlignment w:val="baseline"/>
              <w:rPr>
                <w:kern w:val="0"/>
                <w:sz w:val="20"/>
              </w:rPr>
            </w:pPr>
            <w:r>
              <w:rPr>
                <w:kern w:val="0"/>
                <w:sz w:val="20"/>
              </w:rPr>
              <w:t>递延所得税资产</w:t>
            </w:r>
          </w:p>
        </w:tc>
        <w:tc>
          <w:tcPr>
            <w:tcW w:w="855" w:type="pct"/>
            <w:shd w:val="clear" w:color="auto" w:fill="auto"/>
            <w:vAlign w:val="center"/>
          </w:tcPr>
          <w:p>
            <w:pPr>
              <w:jc w:val="right"/>
              <w:rPr>
                <w:sz w:val="20"/>
              </w:rPr>
            </w:pPr>
          </w:p>
        </w:tc>
        <w:tc>
          <w:tcPr>
            <w:tcW w:w="917" w:type="pct"/>
            <w:shd w:val="clear" w:color="auto" w:fill="auto"/>
            <w:vAlign w:val="center"/>
          </w:tcPr>
          <w:p>
            <w:pPr>
              <w:jc w:val="right"/>
              <w:rPr>
                <w:sz w:val="20"/>
              </w:rPr>
            </w:pPr>
          </w:p>
        </w:tc>
        <w:tc>
          <w:tcPr>
            <w:tcW w:w="1000" w:type="pct"/>
            <w:vAlign w:val="center"/>
          </w:tcPr>
          <w:p>
            <w:pPr>
              <w:jc w:val="right"/>
              <w:rPr>
                <w:sz w:val="20"/>
              </w:rPr>
            </w:pP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ind w:firstLine="500" w:firstLineChars="250"/>
              <w:textAlignment w:val="baseline"/>
              <w:rPr>
                <w:kern w:val="0"/>
                <w:sz w:val="20"/>
              </w:rPr>
            </w:pPr>
            <w:r>
              <w:rPr>
                <w:kern w:val="0"/>
                <w:sz w:val="20"/>
              </w:rPr>
              <w:t>其他非流动资产</w:t>
            </w:r>
          </w:p>
        </w:tc>
        <w:tc>
          <w:tcPr>
            <w:tcW w:w="855" w:type="pct"/>
            <w:shd w:val="clear" w:color="auto" w:fill="auto"/>
            <w:vAlign w:val="center"/>
          </w:tcPr>
          <w:p>
            <w:pPr>
              <w:ind w:firstLine="400"/>
              <w:jc w:val="right"/>
              <w:rPr>
                <w:sz w:val="20"/>
              </w:rPr>
            </w:pPr>
          </w:p>
        </w:tc>
        <w:tc>
          <w:tcPr>
            <w:tcW w:w="917" w:type="pct"/>
            <w:shd w:val="clear" w:color="auto" w:fill="auto"/>
            <w:vAlign w:val="center"/>
          </w:tcPr>
          <w:p>
            <w:pPr>
              <w:ind w:firstLine="400"/>
              <w:jc w:val="right"/>
              <w:rPr>
                <w:sz w:val="20"/>
              </w:rPr>
            </w:pPr>
          </w:p>
        </w:tc>
        <w:tc>
          <w:tcPr>
            <w:tcW w:w="1000" w:type="pct"/>
            <w:vAlign w:val="center"/>
          </w:tcPr>
          <w:p>
            <w:pPr>
              <w:ind w:firstLine="400"/>
              <w:jc w:val="right"/>
              <w:rPr>
                <w:sz w:val="20"/>
              </w:rPr>
            </w:pPr>
          </w:p>
        </w:tc>
        <w:tc>
          <w:tcPr>
            <w:tcW w:w="832" w:type="pct"/>
            <w:shd w:val="clear" w:color="auto" w:fill="auto"/>
            <w:vAlign w:val="center"/>
          </w:tcPr>
          <w:p>
            <w:pPr>
              <w:ind w:firstLine="400"/>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fldChar w:fldCharType="begin"/>
            </w:r>
            <w:r>
              <w:instrText xml:space="preserve"> HYPERLINK "file:///E:\\1资产评估\\1天健兴业\\0评估程序\\3评估报告模板\\1评估模板-feng\\2成本法评估明细表\\资产评估明细表（工贸企业）.xls" \l "分类汇总!B38" </w:instrText>
            </w:r>
            <w:r>
              <w:fldChar w:fldCharType="separate"/>
            </w:r>
            <w:r>
              <w:rPr>
                <w:b/>
                <w:kern w:val="0"/>
                <w:sz w:val="20"/>
              </w:rPr>
              <w:t>资产总计</w:t>
            </w:r>
            <w:r>
              <w:rPr>
                <w:b/>
                <w:kern w:val="0"/>
                <w:sz w:val="20"/>
              </w:rPr>
              <w:fldChar w:fldCharType="end"/>
            </w:r>
          </w:p>
        </w:tc>
        <w:tc>
          <w:tcPr>
            <w:tcW w:w="855" w:type="pct"/>
            <w:shd w:val="clear" w:color="auto" w:fill="auto"/>
            <w:vAlign w:val="center"/>
          </w:tcPr>
          <w:p>
            <w:pPr>
              <w:jc w:val="right"/>
              <w:rPr>
                <w:b/>
                <w:sz w:val="20"/>
              </w:rPr>
            </w:pPr>
            <w:r>
              <w:rPr>
                <w:b/>
                <w:sz w:val="20"/>
              </w:rPr>
              <w:t>0.56</w:t>
            </w:r>
          </w:p>
        </w:tc>
        <w:tc>
          <w:tcPr>
            <w:tcW w:w="917" w:type="pct"/>
            <w:shd w:val="clear" w:color="auto" w:fill="auto"/>
            <w:vAlign w:val="center"/>
          </w:tcPr>
          <w:p>
            <w:pPr>
              <w:jc w:val="right"/>
              <w:rPr>
                <w:b/>
                <w:sz w:val="20"/>
              </w:rPr>
            </w:pPr>
            <w:r>
              <w:rPr>
                <w:b/>
                <w:sz w:val="20"/>
              </w:rPr>
              <w:t>0.56</w:t>
            </w:r>
          </w:p>
        </w:tc>
        <w:tc>
          <w:tcPr>
            <w:tcW w:w="1000" w:type="pct"/>
            <w:vAlign w:val="center"/>
          </w:tcPr>
          <w:p>
            <w:pPr>
              <w:jc w:val="right"/>
              <w:rPr>
                <w:b/>
                <w:sz w:val="20"/>
              </w:rPr>
            </w:pPr>
            <w:r>
              <w:rPr>
                <w:b/>
                <w:sz w:val="20"/>
              </w:rPr>
              <w:t>-</w:t>
            </w:r>
          </w:p>
        </w:tc>
        <w:tc>
          <w:tcPr>
            <w:tcW w:w="832" w:type="pct"/>
            <w:shd w:val="clear" w:color="auto" w:fill="auto"/>
            <w:vAlign w:val="center"/>
          </w:tcPr>
          <w:p>
            <w:pPr>
              <w:jc w:val="right"/>
              <w:rPr>
                <w:b/>
                <w:sz w:val="20"/>
              </w:rPr>
            </w:pPr>
            <w:r>
              <w:rPr>
                <w:b/>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流动负债</w:t>
            </w:r>
          </w:p>
        </w:tc>
        <w:tc>
          <w:tcPr>
            <w:tcW w:w="855" w:type="pct"/>
            <w:shd w:val="clear" w:color="auto" w:fill="auto"/>
            <w:vAlign w:val="center"/>
          </w:tcPr>
          <w:p>
            <w:pPr>
              <w:jc w:val="right"/>
              <w:rPr>
                <w:sz w:val="20"/>
              </w:rPr>
            </w:pPr>
            <w:r>
              <w:rPr>
                <w:sz w:val="20"/>
              </w:rPr>
              <w:t>0.20</w:t>
            </w:r>
          </w:p>
        </w:tc>
        <w:tc>
          <w:tcPr>
            <w:tcW w:w="917" w:type="pct"/>
            <w:shd w:val="clear" w:color="auto" w:fill="auto"/>
            <w:vAlign w:val="center"/>
          </w:tcPr>
          <w:p>
            <w:pPr>
              <w:jc w:val="right"/>
              <w:rPr>
                <w:sz w:val="20"/>
              </w:rPr>
            </w:pPr>
            <w:r>
              <w:rPr>
                <w:sz w:val="20"/>
              </w:rPr>
              <w:t>0.20</w:t>
            </w:r>
          </w:p>
        </w:tc>
        <w:tc>
          <w:tcPr>
            <w:tcW w:w="1000" w:type="pct"/>
            <w:vAlign w:val="center"/>
          </w:tcPr>
          <w:p>
            <w:pPr>
              <w:jc w:val="right"/>
              <w:rPr>
                <w:sz w:val="20"/>
              </w:rPr>
            </w:pPr>
            <w:r>
              <w:rPr>
                <w:sz w:val="20"/>
              </w:rPr>
              <w:t>-</w:t>
            </w:r>
          </w:p>
        </w:tc>
        <w:tc>
          <w:tcPr>
            <w:tcW w:w="832" w:type="pct"/>
            <w:shd w:val="clear" w:color="auto" w:fill="auto"/>
            <w:vAlign w:val="center"/>
          </w:tcPr>
          <w:p>
            <w:pPr>
              <w:jc w:val="right"/>
              <w:rPr>
                <w:sz w:val="20"/>
              </w:rPr>
            </w:pPr>
            <w:r>
              <w:rPr>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kern w:val="0"/>
                <w:sz w:val="20"/>
              </w:rPr>
            </w:pPr>
            <w:r>
              <w:rPr>
                <w:kern w:val="0"/>
                <w:sz w:val="20"/>
              </w:rPr>
              <w:t>非流动负债</w:t>
            </w:r>
          </w:p>
        </w:tc>
        <w:tc>
          <w:tcPr>
            <w:tcW w:w="855" w:type="pct"/>
            <w:shd w:val="clear" w:color="auto" w:fill="auto"/>
            <w:vAlign w:val="center"/>
          </w:tcPr>
          <w:p>
            <w:pPr>
              <w:jc w:val="right"/>
              <w:rPr>
                <w:sz w:val="20"/>
              </w:rPr>
            </w:pPr>
            <w:r>
              <w:rPr>
                <w:sz w:val="20"/>
              </w:rPr>
              <w:t>-</w:t>
            </w:r>
          </w:p>
        </w:tc>
        <w:tc>
          <w:tcPr>
            <w:tcW w:w="917" w:type="pct"/>
            <w:shd w:val="clear" w:color="auto" w:fill="auto"/>
            <w:vAlign w:val="center"/>
          </w:tcPr>
          <w:p>
            <w:pPr>
              <w:jc w:val="right"/>
              <w:rPr>
                <w:sz w:val="20"/>
              </w:rPr>
            </w:pPr>
            <w:r>
              <w:rPr>
                <w:sz w:val="20"/>
              </w:rPr>
              <w:t>-</w:t>
            </w:r>
          </w:p>
        </w:tc>
        <w:tc>
          <w:tcPr>
            <w:tcW w:w="1000" w:type="pct"/>
            <w:vAlign w:val="center"/>
          </w:tcPr>
          <w:p>
            <w:pPr>
              <w:jc w:val="right"/>
              <w:rPr>
                <w:sz w:val="20"/>
              </w:rPr>
            </w:pPr>
            <w:r>
              <w:rPr>
                <w:sz w:val="20"/>
              </w:rPr>
              <w:t>-</w:t>
            </w:r>
          </w:p>
        </w:tc>
        <w:tc>
          <w:tcPr>
            <w:tcW w:w="832" w:type="pct"/>
            <w:shd w:val="clear" w:color="auto" w:fill="auto"/>
            <w:vAlign w:val="center"/>
          </w:tcPr>
          <w:p>
            <w:pPr>
              <w:jc w:val="right"/>
              <w:rPr>
                <w:sz w:val="20"/>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rPr>
                <w:b/>
                <w:kern w:val="0"/>
                <w:sz w:val="20"/>
              </w:rPr>
              <w:t>负债总计</w:t>
            </w:r>
          </w:p>
        </w:tc>
        <w:tc>
          <w:tcPr>
            <w:tcW w:w="855" w:type="pct"/>
            <w:shd w:val="clear" w:color="auto" w:fill="auto"/>
            <w:vAlign w:val="center"/>
          </w:tcPr>
          <w:p>
            <w:pPr>
              <w:jc w:val="right"/>
              <w:rPr>
                <w:b/>
                <w:sz w:val="20"/>
              </w:rPr>
            </w:pPr>
            <w:r>
              <w:rPr>
                <w:b/>
                <w:sz w:val="20"/>
              </w:rPr>
              <w:t>0.20</w:t>
            </w:r>
          </w:p>
        </w:tc>
        <w:tc>
          <w:tcPr>
            <w:tcW w:w="917" w:type="pct"/>
            <w:shd w:val="clear" w:color="auto" w:fill="auto"/>
            <w:vAlign w:val="center"/>
          </w:tcPr>
          <w:p>
            <w:pPr>
              <w:jc w:val="right"/>
              <w:rPr>
                <w:b/>
                <w:sz w:val="20"/>
              </w:rPr>
            </w:pPr>
            <w:r>
              <w:rPr>
                <w:b/>
                <w:sz w:val="20"/>
              </w:rPr>
              <w:t>0.20</w:t>
            </w:r>
          </w:p>
        </w:tc>
        <w:tc>
          <w:tcPr>
            <w:tcW w:w="1000" w:type="pct"/>
            <w:vAlign w:val="center"/>
          </w:tcPr>
          <w:p>
            <w:pPr>
              <w:jc w:val="right"/>
              <w:rPr>
                <w:b/>
                <w:sz w:val="20"/>
              </w:rPr>
            </w:pPr>
            <w:r>
              <w:rPr>
                <w:b/>
                <w:sz w:val="20"/>
              </w:rPr>
              <w:t>-</w:t>
            </w:r>
          </w:p>
        </w:tc>
        <w:tc>
          <w:tcPr>
            <w:tcW w:w="832" w:type="pct"/>
            <w:shd w:val="clear" w:color="auto" w:fill="auto"/>
            <w:vAlign w:val="center"/>
          </w:tcPr>
          <w:p>
            <w:pPr>
              <w:jc w:val="right"/>
              <w:rPr>
                <w:b/>
                <w:sz w:val="20"/>
              </w:rPr>
            </w:pPr>
            <w:r>
              <w:rPr>
                <w:b/>
                <w:sz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exact"/>
        </w:trPr>
        <w:tc>
          <w:tcPr>
            <w:tcW w:w="1396" w:type="pct"/>
            <w:shd w:val="clear" w:color="auto" w:fill="auto"/>
            <w:vAlign w:val="center"/>
          </w:tcPr>
          <w:p>
            <w:pPr>
              <w:adjustRightInd w:val="0"/>
              <w:spacing w:before="60" w:after="60" w:line="312" w:lineRule="atLeast"/>
              <w:textAlignment w:val="baseline"/>
              <w:rPr>
                <w:b/>
                <w:kern w:val="0"/>
                <w:sz w:val="20"/>
              </w:rPr>
            </w:pPr>
            <w:r>
              <w:rPr>
                <w:b/>
                <w:kern w:val="0"/>
                <w:sz w:val="20"/>
              </w:rPr>
              <w:t>净资产</w:t>
            </w:r>
          </w:p>
        </w:tc>
        <w:tc>
          <w:tcPr>
            <w:tcW w:w="855" w:type="pct"/>
            <w:shd w:val="clear" w:color="auto" w:fill="auto"/>
            <w:vAlign w:val="center"/>
          </w:tcPr>
          <w:p>
            <w:pPr>
              <w:jc w:val="right"/>
              <w:rPr>
                <w:b/>
                <w:bCs/>
                <w:sz w:val="20"/>
              </w:rPr>
            </w:pPr>
            <w:r>
              <w:rPr>
                <w:rFonts w:hint="eastAsia"/>
                <w:b/>
                <w:bCs/>
                <w:sz w:val="20"/>
              </w:rPr>
              <w:t>0.36</w:t>
            </w:r>
          </w:p>
        </w:tc>
        <w:tc>
          <w:tcPr>
            <w:tcW w:w="917" w:type="pct"/>
            <w:shd w:val="clear" w:color="auto" w:fill="auto"/>
            <w:vAlign w:val="center"/>
          </w:tcPr>
          <w:p>
            <w:pPr>
              <w:jc w:val="right"/>
              <w:rPr>
                <w:b/>
                <w:bCs/>
                <w:sz w:val="20"/>
              </w:rPr>
            </w:pPr>
            <w:r>
              <w:rPr>
                <w:rFonts w:hint="eastAsia"/>
                <w:b/>
                <w:bCs/>
                <w:sz w:val="20"/>
              </w:rPr>
              <w:t>0.36</w:t>
            </w:r>
          </w:p>
        </w:tc>
        <w:tc>
          <w:tcPr>
            <w:tcW w:w="1000" w:type="pct"/>
            <w:vAlign w:val="center"/>
          </w:tcPr>
          <w:p>
            <w:pPr>
              <w:jc w:val="right"/>
              <w:rPr>
                <w:b/>
                <w:bCs/>
                <w:sz w:val="20"/>
              </w:rPr>
            </w:pPr>
            <w:r>
              <w:rPr>
                <w:rFonts w:hint="eastAsia"/>
                <w:b/>
                <w:bCs/>
                <w:sz w:val="20"/>
              </w:rPr>
              <w:t>-</w:t>
            </w:r>
          </w:p>
        </w:tc>
        <w:tc>
          <w:tcPr>
            <w:tcW w:w="832" w:type="pct"/>
            <w:shd w:val="clear" w:color="auto" w:fill="auto"/>
            <w:vAlign w:val="center"/>
          </w:tcPr>
          <w:p>
            <w:pPr>
              <w:jc w:val="right"/>
              <w:rPr>
                <w:b/>
                <w:bCs/>
                <w:sz w:val="20"/>
              </w:rPr>
            </w:pPr>
            <w:r>
              <w:rPr>
                <w:rFonts w:hint="eastAsia"/>
                <w:b/>
                <w:bCs/>
                <w:sz w:val="20"/>
              </w:rPr>
              <w:t>-</w:t>
            </w:r>
          </w:p>
        </w:tc>
      </w:tr>
    </w:tbl>
    <w:p>
      <w:pPr>
        <w:pStyle w:val="5"/>
        <w:ind w:firstLine="480" w:firstLineChars="200"/>
        <w:rPr>
          <w:color w:val="000000" w:themeColor="text1"/>
          <w:szCs w:val="24"/>
        </w:rPr>
      </w:pPr>
      <w:r>
        <w:rPr>
          <w:color w:val="000000" w:themeColor="text1"/>
          <w:szCs w:val="24"/>
        </w:rPr>
        <w:t>注：评估结论的详细情况见《资产评估明细表》。</w:t>
      </w:r>
    </w:p>
    <w:p>
      <w:pPr>
        <w:pStyle w:val="5"/>
        <w:ind w:firstLine="480" w:firstLineChars="200"/>
        <w:rPr>
          <w:color w:val="000000" w:themeColor="text1"/>
          <w:szCs w:val="24"/>
        </w:rPr>
      </w:pPr>
      <w:r>
        <w:rPr>
          <w:color w:val="000000" w:themeColor="text1"/>
          <w:szCs w:val="24"/>
        </w:rPr>
        <w:t>本评估报告所揭示的评估结论仅对本项目对应的经济行为有效，评估结论使用有效期为自</w:t>
      </w:r>
      <w:r>
        <w:rPr>
          <w:rFonts w:hint="eastAsia"/>
          <w:color w:val="000000" w:themeColor="text1"/>
          <w:szCs w:val="24"/>
        </w:rPr>
        <w:t>评估基准日</w:t>
      </w:r>
      <w:r>
        <w:rPr>
          <w:color w:val="000000" w:themeColor="text1"/>
          <w:szCs w:val="24"/>
        </w:rPr>
        <w:t>起一年。当评估目的在有效期内实现时，</w:t>
      </w:r>
      <w:r>
        <w:rPr>
          <w:rFonts w:hint="eastAsia"/>
          <w:color w:val="000000" w:themeColor="text1"/>
          <w:szCs w:val="24"/>
        </w:rPr>
        <w:t>以</w:t>
      </w:r>
      <w:r>
        <w:rPr>
          <w:color w:val="000000" w:themeColor="text1"/>
          <w:szCs w:val="24"/>
        </w:rPr>
        <w:t>评估结论作为价值的参考依据（还需结合评估基准日的期后事项的调整）。超过一年，需重新进行资产评估</w:t>
      </w:r>
      <w:r>
        <w:rPr>
          <w:rFonts w:hint="eastAsia"/>
          <w:color w:val="000000" w:themeColor="text1"/>
          <w:szCs w:val="24"/>
        </w:rPr>
        <w:t>。</w:t>
      </w:r>
    </w:p>
    <w:bookmarkEnd w:id="52"/>
    <w:bookmarkEnd w:id="53"/>
    <w:bookmarkEnd w:id="54"/>
    <w:p>
      <w:pPr>
        <w:pStyle w:val="4"/>
        <w:spacing w:before="0" w:after="100" w:afterAutospacing="1" w:line="600" w:lineRule="exact"/>
        <w:rPr>
          <w:color w:val="000000" w:themeColor="text1"/>
          <w:sz w:val="24"/>
          <w:szCs w:val="24"/>
        </w:rPr>
      </w:pPr>
      <w:bookmarkStart w:id="55" w:name="_Toc92353678"/>
      <w:bookmarkStart w:id="56" w:name="_Toc24640730"/>
      <w:bookmarkStart w:id="57" w:name="_Toc403664417"/>
      <w:bookmarkStart w:id="58" w:name="_Toc477576904"/>
      <w:r>
        <w:rPr>
          <w:color w:val="000000" w:themeColor="text1"/>
          <w:sz w:val="24"/>
          <w:szCs w:val="24"/>
        </w:rPr>
        <w:t>十一、特别事项说明</w:t>
      </w:r>
      <w:bookmarkEnd w:id="55"/>
      <w:bookmarkEnd w:id="56"/>
    </w:p>
    <w:p>
      <w:pPr>
        <w:pStyle w:val="5"/>
        <w:ind w:firstLine="708" w:firstLineChars="295"/>
        <w:rPr>
          <w:color w:val="000000" w:themeColor="text1"/>
          <w:szCs w:val="24"/>
        </w:rPr>
      </w:pPr>
      <w:r>
        <w:rPr>
          <w:color w:val="000000" w:themeColor="text1"/>
          <w:szCs w:val="24"/>
        </w:rPr>
        <w:t>以下事项并非本公司评估人员执业水平和能力所能评定和估算，但该事项确实可能影响评估结论，提请本评估报告使用者对此应特别关注：</w:t>
      </w:r>
    </w:p>
    <w:p>
      <w:pPr>
        <w:pStyle w:val="5"/>
        <w:tabs>
          <w:tab w:val="left" w:pos="567"/>
          <w:tab w:val="left" w:pos="1134"/>
          <w:tab w:val="left" w:pos="1276"/>
        </w:tabs>
        <w:ind w:left="480" w:firstLine="0"/>
        <w:rPr>
          <w:color w:val="000000" w:themeColor="text1"/>
          <w:szCs w:val="24"/>
        </w:rPr>
      </w:pPr>
      <w:r>
        <w:rPr>
          <w:rFonts w:hint="eastAsia"/>
          <w:color w:val="000000" w:themeColor="text1"/>
          <w:kern w:val="44"/>
          <w:szCs w:val="24"/>
        </w:rPr>
        <w:t>（一）资产权属不存在产权瑕疵的情形</w:t>
      </w:r>
      <w:r>
        <w:rPr>
          <w:rFonts w:hint="eastAsia"/>
          <w:color w:val="000000" w:themeColor="text1"/>
          <w:szCs w:val="24"/>
        </w:rPr>
        <w:t>。</w:t>
      </w:r>
    </w:p>
    <w:p>
      <w:pPr>
        <w:pStyle w:val="5"/>
        <w:tabs>
          <w:tab w:val="left" w:pos="567"/>
          <w:tab w:val="left" w:pos="1134"/>
          <w:tab w:val="left" w:pos="1276"/>
        </w:tabs>
        <w:ind w:left="480" w:firstLine="0"/>
        <w:rPr>
          <w:color w:val="000000" w:themeColor="text1"/>
          <w:szCs w:val="24"/>
        </w:rPr>
      </w:pPr>
      <w:r>
        <w:rPr>
          <w:rFonts w:hint="eastAsia"/>
          <w:color w:val="000000" w:themeColor="text1"/>
          <w:szCs w:val="24"/>
        </w:rPr>
        <w:t>（二）本次评估，被评估单位承诺无</w:t>
      </w:r>
      <w:r>
        <w:rPr>
          <w:rFonts w:hAnsi="宋体"/>
          <w:color w:val="000000" w:themeColor="text1"/>
          <w:szCs w:val="24"/>
        </w:rPr>
        <w:t>未决事项、法律纠纷等不确定因素</w:t>
      </w:r>
      <w:r>
        <w:rPr>
          <w:rFonts w:hint="eastAsia" w:hAnsi="宋体"/>
          <w:color w:val="000000" w:themeColor="text1"/>
          <w:szCs w:val="24"/>
        </w:rPr>
        <w:t>。</w:t>
      </w:r>
    </w:p>
    <w:p>
      <w:pPr>
        <w:pStyle w:val="5"/>
        <w:tabs>
          <w:tab w:val="left" w:pos="284"/>
          <w:tab w:val="left" w:pos="1418"/>
        </w:tabs>
        <w:ind w:left="142" w:firstLine="283" w:firstLineChars="118"/>
        <w:rPr>
          <w:color w:val="000000" w:themeColor="text1"/>
          <w:szCs w:val="24"/>
        </w:rPr>
      </w:pPr>
      <w:r>
        <w:rPr>
          <w:rFonts w:hint="eastAsia"/>
          <w:color w:val="000000" w:themeColor="text1"/>
          <w:szCs w:val="24"/>
        </w:rPr>
        <w:t>（三）本报告所列账面值系引用甘诚会审字[2022]第227号审计报告的审定数。</w:t>
      </w:r>
    </w:p>
    <w:p>
      <w:pPr>
        <w:pStyle w:val="5"/>
        <w:tabs>
          <w:tab w:val="left" w:pos="567"/>
          <w:tab w:val="left" w:pos="1134"/>
          <w:tab w:val="left" w:pos="1276"/>
        </w:tabs>
        <w:ind w:left="480" w:firstLine="0"/>
        <w:rPr>
          <w:color w:val="000000" w:themeColor="text1"/>
          <w:szCs w:val="24"/>
        </w:rPr>
      </w:pPr>
      <w:r>
        <w:rPr>
          <w:rFonts w:hint="eastAsia"/>
          <w:color w:val="000000" w:themeColor="text1"/>
          <w:szCs w:val="24"/>
        </w:rPr>
        <w:t>（四）重大期后事项</w:t>
      </w:r>
    </w:p>
    <w:p>
      <w:pPr>
        <w:pStyle w:val="5"/>
        <w:tabs>
          <w:tab w:val="left" w:pos="567"/>
          <w:tab w:val="left" w:pos="1134"/>
          <w:tab w:val="left" w:pos="1276"/>
        </w:tabs>
        <w:ind w:left="480" w:firstLine="0"/>
        <w:rPr>
          <w:color w:val="000000" w:themeColor="text1"/>
          <w:szCs w:val="24"/>
        </w:rPr>
      </w:pPr>
      <w:r>
        <w:rPr>
          <w:rFonts w:hint="eastAsia"/>
          <w:color w:val="000000" w:themeColor="text1"/>
          <w:szCs w:val="24"/>
        </w:rPr>
        <w:t>本次评估无重大期后事项。</w:t>
      </w:r>
    </w:p>
    <w:p>
      <w:pPr>
        <w:pStyle w:val="4"/>
        <w:spacing w:before="0" w:after="100" w:afterAutospacing="1" w:line="600" w:lineRule="exact"/>
        <w:rPr>
          <w:color w:val="000000" w:themeColor="text1"/>
          <w:sz w:val="24"/>
          <w:szCs w:val="24"/>
        </w:rPr>
      </w:pPr>
      <w:bookmarkStart w:id="59" w:name="_Toc24640731"/>
      <w:bookmarkStart w:id="60" w:name="_Toc92353679"/>
      <w:r>
        <w:rPr>
          <w:color w:val="000000" w:themeColor="text1"/>
          <w:sz w:val="24"/>
          <w:szCs w:val="24"/>
        </w:rPr>
        <w:t>十二、资产评估报告的使用限制说明</w:t>
      </w:r>
      <w:bookmarkEnd w:id="59"/>
      <w:bookmarkEnd w:id="60"/>
    </w:p>
    <w:p>
      <w:pPr>
        <w:pStyle w:val="5"/>
        <w:rPr>
          <w:color w:val="000000" w:themeColor="text1"/>
          <w:szCs w:val="24"/>
        </w:rPr>
      </w:pPr>
      <w:r>
        <w:rPr>
          <w:color w:val="000000" w:themeColor="text1"/>
          <w:szCs w:val="24"/>
        </w:rPr>
        <w:t>本报告所称</w:t>
      </w:r>
      <w:r>
        <w:rPr>
          <w:rFonts w:hint="eastAsia"/>
          <w:color w:val="000000" w:themeColor="text1"/>
          <w:szCs w:val="24"/>
        </w:rPr>
        <w:t>“</w:t>
      </w:r>
      <w:r>
        <w:rPr>
          <w:color w:val="000000" w:themeColor="text1"/>
          <w:szCs w:val="24"/>
        </w:rPr>
        <w:t>评估价值</w:t>
      </w:r>
      <w:r>
        <w:rPr>
          <w:rFonts w:hint="eastAsia"/>
          <w:color w:val="000000" w:themeColor="text1"/>
          <w:szCs w:val="24"/>
        </w:rPr>
        <w:t>”</w:t>
      </w:r>
      <w:r>
        <w:rPr>
          <w:color w:val="000000" w:themeColor="text1"/>
          <w:szCs w:val="24"/>
        </w:rPr>
        <w:t>系指我们对所评估资产在现有用途不变并持续经营，以及在评估基准日之状况和外部经济环境前提下，为本报告书所列明的目的而提出的公允估值意见，而不对其它用途负责</w:t>
      </w:r>
      <w:r>
        <w:rPr>
          <w:rFonts w:hint="eastAsia"/>
          <w:color w:val="000000" w:themeColor="text1"/>
          <w:szCs w:val="24"/>
        </w:rPr>
        <w:t>。</w:t>
      </w:r>
    </w:p>
    <w:p>
      <w:pPr>
        <w:pStyle w:val="5"/>
        <w:rPr>
          <w:color w:val="000000" w:themeColor="text1"/>
          <w:szCs w:val="24"/>
        </w:rPr>
      </w:pPr>
      <w:r>
        <w:rPr>
          <w:rFonts w:hint="eastAsia"/>
          <w:color w:val="000000" w:themeColor="text1"/>
          <w:szCs w:val="24"/>
        </w:rPr>
        <w:t>委托人或者其他资产评估报告使用人未按照法律、行政法规规定和资产评估报告载明的使用范围使用资产评估报告的，资产评估机构及其资产评估专业人员不承担责任。除委托人、资产评估委托合同中约定的其他资产评估报告使用人和法律、行政法规规定的资产评估报告使用人之外，其他任何机构和个人不能成为资产评估报告的使用人。资产评估报告使用人应当正确理解评估结论。评估结论不等同于评估对象可实现价格，评估结论不应当被认为是对评估对象可实现价格的保证。本评估报告需提交有关主管部门审查，备案后方可正式使用。本评估报告的全部或者部分内容被摘抄、引用或者被披露于公开媒体，需评估机构审阅相关内容，法律、法规规定以及相关当事方另有约定除外。</w:t>
      </w:r>
    </w:p>
    <w:bookmarkEnd w:id="57"/>
    <w:bookmarkEnd w:id="58"/>
    <w:p>
      <w:pPr>
        <w:pStyle w:val="4"/>
        <w:spacing w:before="0" w:after="100" w:afterAutospacing="1" w:line="600" w:lineRule="exact"/>
        <w:rPr>
          <w:color w:val="000000" w:themeColor="text1"/>
          <w:sz w:val="24"/>
          <w:szCs w:val="24"/>
        </w:rPr>
      </w:pPr>
      <w:bookmarkStart w:id="61" w:name="_Toc92353680"/>
      <w:bookmarkStart w:id="62" w:name="_Toc24640732"/>
      <w:r>
        <w:rPr>
          <w:color w:val="000000" w:themeColor="text1"/>
          <w:sz w:val="24"/>
          <w:szCs w:val="24"/>
        </w:rPr>
        <w:t>十三、资产评估报告日</w:t>
      </w:r>
      <w:bookmarkEnd w:id="61"/>
      <w:bookmarkEnd w:id="62"/>
    </w:p>
    <w:p>
      <w:pPr>
        <w:pStyle w:val="5"/>
        <w:rPr>
          <w:color w:val="000000" w:themeColor="text1"/>
        </w:rPr>
      </w:pPr>
      <w:r>
        <w:rPr>
          <w:color w:val="000000" w:themeColor="text1"/>
        </w:rPr>
        <w:t>评估报告日为20</w:t>
      </w:r>
      <w:r>
        <w:rPr>
          <w:rFonts w:hint="eastAsia"/>
          <w:color w:val="000000" w:themeColor="text1"/>
        </w:rPr>
        <w:t>22</w:t>
      </w:r>
      <w:r>
        <w:rPr>
          <w:color w:val="000000" w:themeColor="text1"/>
        </w:rPr>
        <w:t>年</w:t>
      </w:r>
      <w:r>
        <w:rPr>
          <w:rFonts w:hint="eastAsia"/>
          <w:color w:val="000000" w:themeColor="text1"/>
        </w:rPr>
        <w:t>10</w:t>
      </w:r>
      <w:r>
        <w:rPr>
          <w:color w:val="000000" w:themeColor="text1"/>
        </w:rPr>
        <w:t>月</w:t>
      </w:r>
      <w:r>
        <w:rPr>
          <w:rFonts w:hint="eastAsia"/>
          <w:color w:val="000000" w:themeColor="text1"/>
        </w:rPr>
        <w:t>20</w:t>
      </w:r>
      <w:r>
        <w:rPr>
          <w:color w:val="000000" w:themeColor="text1"/>
        </w:rPr>
        <w:t>日。</w:t>
      </w:r>
    </w:p>
    <w:p>
      <w:pPr>
        <w:pStyle w:val="4"/>
        <w:spacing w:before="0" w:after="100" w:afterAutospacing="1" w:line="600" w:lineRule="exact"/>
        <w:rPr>
          <w:color w:val="000000" w:themeColor="text1"/>
        </w:rPr>
      </w:pPr>
      <w:bookmarkStart w:id="63" w:name="_Toc92353681"/>
      <w:bookmarkStart w:id="64" w:name="_Toc24640733"/>
      <w:r>
        <w:rPr>
          <w:rFonts w:hint="eastAsia"/>
          <w:color w:val="000000" w:themeColor="text1"/>
          <w:sz w:val="24"/>
          <w:szCs w:val="24"/>
        </w:rPr>
        <w:t>十四、资产评估专业人员签名和资产评估机构印章</w:t>
      </w:r>
      <w:bookmarkEnd w:id="63"/>
      <w:bookmarkEnd w:id="64"/>
    </w:p>
    <w:p>
      <w:pPr>
        <w:pStyle w:val="5"/>
        <w:ind w:firstLine="2340" w:firstLineChars="975"/>
        <w:rPr>
          <w:color w:val="000000" w:themeColor="text1"/>
        </w:rPr>
      </w:pPr>
    </w:p>
    <w:p>
      <w:pPr>
        <w:pStyle w:val="5"/>
        <w:ind w:firstLine="2340" w:firstLineChars="975"/>
        <w:rPr>
          <w:color w:val="000000" w:themeColor="text1"/>
        </w:rPr>
      </w:pPr>
      <w:r>
        <w:rPr>
          <w:rFonts w:hint="eastAsia"/>
          <w:color w:val="000000" w:themeColor="text1"/>
        </w:rPr>
        <w:t>资产评估机构执行事务合伙人：</w:t>
      </w:r>
    </w:p>
    <w:p>
      <w:pPr>
        <w:pStyle w:val="5"/>
        <w:ind w:firstLine="4260" w:firstLineChars="1775"/>
        <w:rPr>
          <w:color w:val="000000" w:themeColor="text1"/>
        </w:rPr>
      </w:pPr>
      <w:r>
        <w:rPr>
          <w:color w:val="000000" w:themeColor="text1"/>
        </w:rPr>
        <w:t>资产评估师：</w:t>
      </w:r>
    </w:p>
    <w:p>
      <w:pPr>
        <w:pStyle w:val="5"/>
        <w:ind w:firstLine="4260" w:firstLineChars="1775"/>
        <w:rPr>
          <w:color w:val="000000" w:themeColor="text1"/>
        </w:rPr>
      </w:pPr>
    </w:p>
    <w:p>
      <w:pPr>
        <w:pStyle w:val="5"/>
        <w:ind w:firstLine="4260" w:firstLineChars="1775"/>
        <w:rPr>
          <w:color w:val="000000" w:themeColor="text1"/>
        </w:rPr>
      </w:pPr>
      <w:r>
        <w:rPr>
          <w:color w:val="000000" w:themeColor="text1"/>
        </w:rPr>
        <w:t>资产评估师：</w:t>
      </w:r>
    </w:p>
    <w:p>
      <w:pPr>
        <w:pStyle w:val="5"/>
        <w:ind w:firstLine="4260" w:firstLineChars="1775"/>
        <w:rPr>
          <w:color w:val="000000" w:themeColor="text1"/>
        </w:rPr>
      </w:pPr>
    </w:p>
    <w:p>
      <w:pPr>
        <w:pStyle w:val="5"/>
        <w:ind w:firstLine="4260" w:firstLineChars="1775"/>
        <w:rPr>
          <w:color w:val="000000" w:themeColor="text1"/>
        </w:rPr>
      </w:pPr>
    </w:p>
    <w:p>
      <w:pPr>
        <w:pStyle w:val="5"/>
        <w:ind w:firstLine="4260" w:firstLineChars="1775"/>
        <w:rPr>
          <w:color w:val="000000" w:themeColor="text1"/>
        </w:rPr>
      </w:pPr>
      <w:r>
        <w:rPr>
          <w:rFonts w:hint="eastAsia"/>
          <w:color w:val="000000" w:themeColor="text1"/>
        </w:rPr>
        <w:t>甘肃百诚资产评估事务所</w:t>
      </w:r>
    </w:p>
    <w:p>
      <w:pPr>
        <w:pStyle w:val="5"/>
        <w:ind w:firstLine="4260" w:firstLineChars="1775"/>
        <w:rPr>
          <w:color w:val="000000" w:themeColor="text1"/>
        </w:rPr>
      </w:pPr>
      <w:bookmarkStart w:id="65" w:name="_Toc334347482"/>
      <w:r>
        <w:rPr>
          <w:rFonts w:hint="eastAsia"/>
          <w:color w:val="000000" w:themeColor="text1"/>
        </w:rPr>
        <w:t>二〇二二年十月二十日</w:t>
      </w:r>
    </w:p>
    <w:p>
      <w:pPr>
        <w:pStyle w:val="5"/>
        <w:ind w:firstLine="4260" w:firstLineChars="1775"/>
        <w:rPr>
          <w:color w:val="000000" w:themeColor="text1"/>
        </w:rPr>
      </w:pPr>
    </w:p>
    <w:p>
      <w:pPr>
        <w:pStyle w:val="3"/>
        <w:adjustRightInd/>
        <w:spacing w:before="0" w:after="0" w:line="420" w:lineRule="auto"/>
        <w:ind w:firstLine="176" w:firstLineChars="49"/>
        <w:jc w:val="center"/>
        <w:textAlignment w:val="auto"/>
        <w:rPr>
          <w:rStyle w:val="51"/>
          <w:rFonts w:ascii="Times New Roman" w:hAnsi="Times New Roman" w:eastAsia="宋体"/>
          <w:b w:val="0"/>
          <w:color w:val="000000" w:themeColor="text1"/>
        </w:rPr>
      </w:pPr>
      <w:bookmarkStart w:id="66" w:name="_Toc24640734"/>
      <w:bookmarkStart w:id="67" w:name="_Toc92353682"/>
    </w:p>
    <w:p>
      <w:pPr>
        <w:pStyle w:val="3"/>
        <w:adjustRightInd/>
        <w:spacing w:before="0" w:after="0" w:line="420" w:lineRule="auto"/>
        <w:ind w:left="0" w:leftChars="0" w:firstLine="0" w:firstLineChars="0"/>
        <w:jc w:val="both"/>
        <w:textAlignment w:val="auto"/>
        <w:rPr>
          <w:rStyle w:val="51"/>
          <w:rFonts w:ascii="Times New Roman" w:hAnsi="Times New Roman" w:eastAsia="宋体"/>
          <w:b w:val="0"/>
          <w:color w:val="000000" w:themeColor="text1"/>
        </w:rPr>
      </w:pPr>
    </w:p>
    <w:p>
      <w:pPr>
        <w:pStyle w:val="3"/>
        <w:adjustRightInd/>
        <w:spacing w:before="0" w:after="0" w:line="420" w:lineRule="auto"/>
        <w:ind w:firstLine="176" w:firstLineChars="49"/>
        <w:jc w:val="center"/>
        <w:textAlignment w:val="auto"/>
        <w:rPr>
          <w:rStyle w:val="51"/>
          <w:rFonts w:ascii="Times New Roman" w:hAnsi="Times New Roman" w:eastAsia="宋体"/>
          <w:b w:val="0"/>
          <w:color w:val="000000" w:themeColor="text1"/>
        </w:rPr>
      </w:pPr>
    </w:p>
    <w:p>
      <w:pPr>
        <w:pStyle w:val="3"/>
        <w:adjustRightInd/>
        <w:spacing w:before="0" w:after="0" w:line="420" w:lineRule="auto"/>
        <w:ind w:firstLine="176" w:firstLineChars="49"/>
        <w:jc w:val="center"/>
        <w:textAlignment w:val="auto"/>
        <w:rPr>
          <w:rStyle w:val="51"/>
          <w:rFonts w:ascii="Times New Roman" w:hAnsi="Times New Roman" w:eastAsia="宋体"/>
          <w:b w:val="0"/>
          <w:color w:val="000000" w:themeColor="text1"/>
        </w:rPr>
      </w:pPr>
    </w:p>
    <w:p/>
    <w:p>
      <w:pPr>
        <w:pStyle w:val="3"/>
        <w:adjustRightInd/>
        <w:spacing w:before="0" w:after="0" w:line="420" w:lineRule="auto"/>
        <w:ind w:firstLine="176" w:firstLineChars="49"/>
        <w:jc w:val="center"/>
        <w:textAlignment w:val="auto"/>
        <w:rPr>
          <w:rStyle w:val="51"/>
          <w:rFonts w:eastAsia="宋体"/>
          <w:b w:val="0"/>
          <w:color w:val="000000" w:themeColor="text1"/>
          <w:szCs w:val="36"/>
        </w:rPr>
      </w:pPr>
      <w:r>
        <w:rPr>
          <w:rStyle w:val="51"/>
          <w:rFonts w:ascii="Times New Roman" w:hAnsi="Times New Roman" w:eastAsia="宋体"/>
          <w:b w:val="0"/>
          <w:color w:val="000000" w:themeColor="text1"/>
        </w:rPr>
        <w:t>评估</w:t>
      </w:r>
      <w:r>
        <w:rPr>
          <w:rStyle w:val="51"/>
          <w:rFonts w:eastAsia="宋体"/>
          <w:b w:val="0"/>
          <w:color w:val="000000" w:themeColor="text1"/>
          <w:szCs w:val="36"/>
        </w:rPr>
        <w:t>报告附件</w:t>
      </w:r>
      <w:bookmarkEnd w:id="65"/>
      <w:bookmarkEnd w:id="66"/>
      <w:bookmarkEnd w:id="67"/>
    </w:p>
    <w:p/>
    <w:p>
      <w:pPr>
        <w:numPr>
          <w:ilvl w:val="3"/>
          <w:numId w:val="5"/>
        </w:numPr>
        <w:tabs>
          <w:tab w:val="left" w:pos="284"/>
        </w:tabs>
        <w:snapToGrid w:val="0"/>
        <w:spacing w:line="360" w:lineRule="auto"/>
        <w:ind w:left="-142" w:firstLine="480" w:firstLineChars="200"/>
        <w:rPr>
          <w:color w:val="000000" w:themeColor="text1"/>
          <w:szCs w:val="24"/>
        </w:rPr>
      </w:pPr>
      <w:r>
        <w:rPr>
          <w:rFonts w:hint="eastAsia"/>
          <w:color w:val="000000" w:themeColor="text1"/>
          <w:szCs w:val="24"/>
        </w:rPr>
        <w:t>被评估</w:t>
      </w:r>
      <w:r>
        <w:rPr>
          <w:color w:val="000000" w:themeColor="text1"/>
          <w:szCs w:val="24"/>
        </w:rPr>
        <w:t>单位</w:t>
      </w:r>
      <w:r>
        <w:rPr>
          <w:rFonts w:hint="eastAsia"/>
          <w:color w:val="000000" w:themeColor="text1"/>
          <w:szCs w:val="24"/>
        </w:rPr>
        <w:t>资产清查明细表</w:t>
      </w:r>
    </w:p>
    <w:p>
      <w:pPr>
        <w:numPr>
          <w:ilvl w:val="3"/>
          <w:numId w:val="5"/>
        </w:numPr>
        <w:tabs>
          <w:tab w:val="left" w:pos="284"/>
        </w:tabs>
        <w:snapToGrid w:val="0"/>
        <w:spacing w:line="360" w:lineRule="auto"/>
        <w:ind w:left="-142" w:firstLine="480" w:firstLineChars="200"/>
        <w:rPr>
          <w:color w:val="000000" w:themeColor="text1"/>
          <w:szCs w:val="24"/>
        </w:rPr>
      </w:pPr>
      <w:r>
        <w:rPr>
          <w:color w:val="000000" w:themeColor="text1"/>
          <w:szCs w:val="24"/>
        </w:rPr>
        <w:t>被评估单位法人营业执照</w:t>
      </w:r>
      <w:r>
        <w:rPr>
          <w:rFonts w:hint="eastAsia"/>
          <w:color w:val="000000" w:themeColor="text1"/>
          <w:szCs w:val="24"/>
        </w:rPr>
        <w:t>复印件</w:t>
      </w:r>
    </w:p>
    <w:p>
      <w:pPr>
        <w:numPr>
          <w:ilvl w:val="3"/>
          <w:numId w:val="5"/>
        </w:numPr>
        <w:tabs>
          <w:tab w:val="left" w:pos="284"/>
        </w:tabs>
        <w:snapToGrid w:val="0"/>
        <w:spacing w:line="360" w:lineRule="auto"/>
        <w:ind w:left="-142" w:firstLine="480" w:firstLineChars="200"/>
        <w:rPr>
          <w:color w:val="000000" w:themeColor="text1"/>
          <w:szCs w:val="24"/>
        </w:rPr>
      </w:pPr>
      <w:r>
        <w:rPr>
          <w:color w:val="000000" w:themeColor="text1"/>
          <w:szCs w:val="24"/>
        </w:rPr>
        <w:t>被评估单位承诺函</w:t>
      </w:r>
    </w:p>
    <w:p>
      <w:pPr>
        <w:numPr>
          <w:ilvl w:val="3"/>
          <w:numId w:val="5"/>
        </w:numPr>
        <w:tabs>
          <w:tab w:val="left" w:pos="284"/>
        </w:tabs>
        <w:snapToGrid w:val="0"/>
        <w:spacing w:line="360" w:lineRule="auto"/>
        <w:ind w:left="-142" w:firstLine="480" w:firstLineChars="200"/>
        <w:rPr>
          <w:color w:val="000000" w:themeColor="text1"/>
          <w:szCs w:val="24"/>
        </w:rPr>
      </w:pPr>
      <w:r>
        <w:rPr>
          <w:rFonts w:hint="eastAsia"/>
          <w:color w:val="000000" w:themeColor="text1"/>
          <w:szCs w:val="24"/>
        </w:rPr>
        <w:t>资产评估专业人员</w:t>
      </w:r>
      <w:r>
        <w:rPr>
          <w:color w:val="000000" w:themeColor="text1"/>
          <w:szCs w:val="24"/>
        </w:rPr>
        <w:t>承诺函</w:t>
      </w:r>
    </w:p>
    <w:p>
      <w:pPr>
        <w:numPr>
          <w:ilvl w:val="3"/>
          <w:numId w:val="5"/>
        </w:numPr>
        <w:tabs>
          <w:tab w:val="left" w:pos="284"/>
        </w:tabs>
        <w:snapToGrid w:val="0"/>
        <w:spacing w:line="360" w:lineRule="auto"/>
        <w:ind w:left="-142" w:firstLine="480" w:firstLineChars="200"/>
        <w:rPr>
          <w:color w:val="000000" w:themeColor="text1"/>
          <w:szCs w:val="24"/>
        </w:rPr>
      </w:pPr>
      <w:r>
        <w:rPr>
          <w:color w:val="000000" w:themeColor="text1"/>
          <w:szCs w:val="24"/>
        </w:rPr>
        <w:t>评估机构资格证书复印件</w:t>
      </w:r>
    </w:p>
    <w:p>
      <w:pPr>
        <w:numPr>
          <w:ilvl w:val="3"/>
          <w:numId w:val="5"/>
        </w:numPr>
        <w:tabs>
          <w:tab w:val="left" w:pos="284"/>
        </w:tabs>
        <w:snapToGrid w:val="0"/>
        <w:spacing w:line="360" w:lineRule="auto"/>
        <w:ind w:left="-142" w:firstLine="480" w:firstLineChars="200"/>
        <w:rPr>
          <w:color w:val="000000" w:themeColor="text1"/>
          <w:szCs w:val="24"/>
        </w:rPr>
      </w:pPr>
      <w:r>
        <w:rPr>
          <w:color w:val="000000" w:themeColor="text1"/>
          <w:szCs w:val="24"/>
        </w:rPr>
        <w:t>评估机构法人营业执照副本复印件</w:t>
      </w:r>
    </w:p>
    <w:p>
      <w:pPr>
        <w:numPr>
          <w:ilvl w:val="3"/>
          <w:numId w:val="5"/>
        </w:numPr>
        <w:tabs>
          <w:tab w:val="left" w:pos="284"/>
        </w:tabs>
        <w:snapToGrid w:val="0"/>
        <w:spacing w:line="360" w:lineRule="auto"/>
        <w:ind w:left="-142" w:firstLine="480" w:firstLineChars="200"/>
        <w:rPr>
          <w:color w:val="000000" w:themeColor="text1"/>
          <w:szCs w:val="24"/>
        </w:rPr>
      </w:pPr>
      <w:r>
        <w:rPr>
          <w:rFonts w:hint="eastAsia"/>
          <w:color w:val="000000" w:themeColor="text1"/>
          <w:szCs w:val="24"/>
        </w:rPr>
        <w:t>资产评估专业人员资格证书复印件</w:t>
      </w:r>
    </w:p>
    <w:p>
      <w:pPr>
        <w:spacing w:before="60" w:after="60"/>
        <w:rPr>
          <w:color w:val="000000" w:themeColor="text1"/>
        </w:rPr>
      </w:pPr>
    </w:p>
    <w:sectPr>
      <w:headerReference r:id="rId9" w:type="default"/>
      <w:pgSz w:w="11906" w:h="16838"/>
      <w:pgMar w:top="1588" w:right="1701" w:bottom="1247" w:left="1701" w:header="907" w:footer="850" w:gutter="0"/>
      <w:pgNumType w:start="1"/>
      <w:cols w:space="720" w:num="1"/>
      <w:docGrid w:type="lines" w:linePitch="45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Monotype Sorts">
    <w:altName w:val="Symbol"/>
    <w:panose1 w:val="00000000000000000000"/>
    <w:charset w:val="02"/>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昆仑楷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600"/>
        <w:tab w:val="clear" w:pos="8306"/>
      </w:tabs>
      <w:ind w:right="-96"/>
      <w:jc w:val="both"/>
      <w:rPr>
        <w:rFonts w:ascii="黑体" w:eastAsia="黑体"/>
        <w:color w:val="808080"/>
      </w:rPr>
    </w:pPr>
  </w:p>
  <w:p>
    <w:pPr>
      <w:pStyle w:val="20"/>
      <w:pBdr>
        <w:top w:val="single" w:color="auto" w:sz="6" w:space="8"/>
      </w:pBdr>
    </w:pPr>
    <w:r>
      <w:rPr>
        <w:rFonts w:hint="eastAsia"/>
      </w:rPr>
      <w:t>本报告防伪编码：</w:t>
    </w:r>
    <w:r>
      <w:rPr>
        <w:rFonts w:hint="eastAsia"/>
        <w:lang w:val="en-US" w:eastAsia="zh-CN"/>
      </w:rPr>
      <w:t>6262070001202200091</w:t>
    </w:r>
    <w:r>
      <w:rPr>
        <w:rStyle w:val="34"/>
        <w:rFonts w:hint="eastAsia" w:ascii="宋体" w:hAnsi="宋体"/>
        <w:szCs w:val="18"/>
      </w:rPr>
      <w:t>欢迎登录</w:t>
    </w:r>
    <w:r>
      <w:rPr>
        <w:rFonts w:hint="eastAsia" w:ascii="宋体" w:hAnsi="宋体"/>
        <w:szCs w:val="18"/>
      </w:rPr>
      <w:t>中国资产评估协会网站www.cas.org.cn</w:t>
    </w:r>
    <w:r>
      <w:rPr>
        <w:rStyle w:val="34"/>
        <w:rFonts w:hint="eastAsia" w:ascii="宋体" w:hAnsi="宋体"/>
        <w:szCs w:val="18"/>
      </w:rPr>
      <w:t xml:space="preserve"> 查询</w:t>
    </w:r>
  </w:p>
  <w:p>
    <w:pPr>
      <w:pStyle w:val="20"/>
      <w:tabs>
        <w:tab w:val="right" w:pos="8600"/>
        <w:tab w:val="clear" w:pos="8306"/>
      </w:tabs>
      <w:ind w:right="-96"/>
      <w:jc w:val="both"/>
      <w:rPr>
        <w:rFonts w:ascii="宋体" w:hAnsi="宋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600"/>
        <w:tab w:val="clear" w:pos="8306"/>
      </w:tabs>
      <w:ind w:right="-96"/>
      <w:jc w:val="both"/>
      <w:rPr>
        <w:rFonts w:ascii="黑体" w:eastAsia="黑体"/>
        <w:color w:val="808080"/>
      </w:rPr>
    </w:pPr>
  </w:p>
  <w:p>
    <w:pPr>
      <w:pStyle w:val="20"/>
      <w:pBdr>
        <w:top w:val="single" w:color="auto" w:sz="6" w:space="8"/>
      </w:pBdr>
      <w:rPr>
        <w:rStyle w:val="34"/>
        <w:rFonts w:ascii="宋体" w:hAnsi="宋体"/>
      </w:rPr>
    </w:pPr>
    <w:r>
      <w:rPr>
        <w:rFonts w:hint="eastAsia"/>
      </w:rPr>
      <w:t>本报告防伪编码：</w:t>
    </w:r>
    <w:r>
      <w:rPr>
        <w:rFonts w:hint="eastAsia"/>
        <w:lang w:val="en-US" w:eastAsia="zh-CN"/>
      </w:rPr>
      <w:t>6262070001202200091</w:t>
    </w:r>
    <w:r>
      <w:rPr>
        <w:rStyle w:val="34"/>
        <w:rFonts w:hint="eastAsia" w:ascii="宋体" w:hAnsi="宋体"/>
        <w:szCs w:val="18"/>
      </w:rPr>
      <w:t>欢迎登录</w:t>
    </w:r>
    <w:r>
      <w:rPr>
        <w:rFonts w:hint="eastAsia" w:ascii="宋体" w:hAnsi="宋体"/>
        <w:szCs w:val="18"/>
      </w:rPr>
      <w:t>中国资产评估协会网站www.cas.org.cn</w:t>
    </w:r>
    <w:r>
      <w:rPr>
        <w:rStyle w:val="34"/>
        <w:rFonts w:hint="eastAsia" w:ascii="宋体" w:hAnsi="宋体"/>
        <w:szCs w:val="18"/>
      </w:rPr>
      <w:t xml:space="preserve"> 查询   </w:t>
    </w:r>
    <w:r>
      <w:rPr>
        <w:rFonts w:hint="eastAsia"/>
      </w:rPr>
      <w:t>第</w:t>
    </w:r>
    <w:r>
      <w:rPr>
        <w:rStyle w:val="34"/>
      </w:rPr>
      <w:fldChar w:fldCharType="begin"/>
    </w:r>
    <w:r>
      <w:rPr>
        <w:rStyle w:val="34"/>
      </w:rPr>
      <w:instrText xml:space="preserve"> PAGE </w:instrText>
    </w:r>
    <w:r>
      <w:rPr>
        <w:rStyle w:val="34"/>
      </w:rPr>
      <w:fldChar w:fldCharType="separate"/>
    </w:r>
    <w:r>
      <w:rPr>
        <w:rStyle w:val="34"/>
      </w:rPr>
      <w:t>1</w:t>
    </w:r>
    <w:r>
      <w:rPr>
        <w:rStyle w:val="34"/>
      </w:rPr>
      <w:fldChar w:fldCharType="end"/>
    </w:r>
    <w:r>
      <w:rPr>
        <w:rStyle w:val="34"/>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宋体" w:hAnsi="宋体"/>
        <w:szCs w:val="18"/>
      </w:rPr>
    </w:pPr>
    <w:r>
      <w:rPr>
        <w:rFonts w:hint="eastAsia" w:ascii="宋体" w:hAnsi="宋体"/>
        <w:szCs w:val="18"/>
      </w:rPr>
      <w:t xml:space="preserve">目录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声明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6180"/>
    <w:multiLevelType w:val="multilevel"/>
    <w:tmpl w:val="47F66180"/>
    <w:lvl w:ilvl="0" w:tentative="0">
      <w:start w:val="1"/>
      <w:numFmt w:val="chineseCountingThousand"/>
      <w:lvlText w:val="%1、"/>
      <w:lvlJc w:val="left"/>
      <w:pPr>
        <w:ind w:left="981" w:hanging="420"/>
      </w:p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chineseCountingThousand"/>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
    <w:nsid w:val="49015D7B"/>
    <w:multiLevelType w:val="singleLevel"/>
    <w:tmpl w:val="49015D7B"/>
    <w:lvl w:ilvl="0" w:tentative="0">
      <w:start w:val="1"/>
      <w:numFmt w:val="bullet"/>
      <w:pStyle w:val="37"/>
      <w:lvlText w:val=""/>
      <w:lvlJc w:val="left"/>
      <w:pPr>
        <w:tabs>
          <w:tab w:val="left" w:pos="425"/>
        </w:tabs>
        <w:ind w:left="425" w:hanging="425"/>
      </w:pPr>
      <w:rPr>
        <w:rFonts w:hint="default" w:ascii="Monotype Sorts" w:hAnsi="Monotype Sorts"/>
        <w:sz w:val="16"/>
      </w:rPr>
    </w:lvl>
  </w:abstractNum>
  <w:abstractNum w:abstractNumId="2">
    <w:nsid w:val="58FF67C5"/>
    <w:multiLevelType w:val="multilevel"/>
    <w:tmpl w:val="58FF67C5"/>
    <w:lvl w:ilvl="0" w:tentative="0">
      <w:start w:val="1"/>
      <w:numFmt w:val="decimal"/>
      <w:lvlText w:val="%1."/>
      <w:lvlJc w:val="left"/>
      <w:pPr>
        <w:ind w:left="420" w:hanging="420"/>
      </w:pPr>
    </w:lvl>
    <w:lvl w:ilvl="1" w:tentative="0">
      <w:start w:val="1"/>
      <w:numFmt w:val="decimal"/>
      <w:lvlText w:val="%2)"/>
      <w:lvlJc w:val="left"/>
      <w:pPr>
        <w:tabs>
          <w:tab w:val="left" w:pos="795"/>
        </w:tabs>
        <w:ind w:left="795" w:hanging="375"/>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japaneseCounting"/>
      <w:lvlText w:val="%4、"/>
      <w:lvlJc w:val="left"/>
      <w:pPr>
        <w:ind w:left="1740" w:hanging="480"/>
      </w:pPr>
      <w:rPr>
        <w:rFonts w:hint="default"/>
      </w:rPr>
    </w:lvl>
    <w:lvl w:ilvl="4" w:tentative="0">
      <w:start w:val="1"/>
      <w:numFmt w:val="japaneseCounting"/>
      <w:lvlText w:val="（%5）"/>
      <w:lvlJc w:val="left"/>
      <w:pPr>
        <w:ind w:left="2475" w:hanging="795"/>
      </w:pPr>
      <w:rPr>
        <w:rFonts w:hint="default"/>
      </w:rPr>
    </w:lvl>
    <w:lvl w:ilvl="5" w:tentative="0">
      <w:start w:val="1"/>
      <w:numFmt w:val="decimal"/>
      <w:lvlText w:val="（%6）"/>
      <w:lvlJc w:val="left"/>
      <w:pPr>
        <w:ind w:left="2820" w:hanging="72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3B0696"/>
    <w:multiLevelType w:val="multilevel"/>
    <w:tmpl w:val="643B0696"/>
    <w:lvl w:ilvl="0" w:tentative="0">
      <w:start w:val="1"/>
      <w:numFmt w:val="decimal"/>
      <w:lvlText w:val="%1."/>
      <w:lvlJc w:val="left"/>
      <w:pPr>
        <w:ind w:left="1271" w:hanging="420"/>
      </w:pPr>
    </w:lvl>
    <w:lvl w:ilvl="1" w:tentative="0">
      <w:start w:val="1"/>
      <w:numFmt w:val="decimal"/>
      <w:lvlText w:val="%2)"/>
      <w:lvlJc w:val="left"/>
      <w:pPr>
        <w:tabs>
          <w:tab w:val="left" w:pos="1275"/>
        </w:tabs>
        <w:ind w:left="1275" w:hanging="855"/>
      </w:pPr>
      <w:rPr>
        <w:rFonts w:hint="default"/>
      </w:rPr>
    </w:lvl>
    <w:lvl w:ilvl="2" w:tentative="0">
      <w:start w:val="1"/>
      <w:numFmt w:val="decimal"/>
      <w:lvlText w:val="%3."/>
      <w:lvlJc w:val="left"/>
      <w:pPr>
        <w:tabs>
          <w:tab w:val="left" w:pos="1260"/>
        </w:tabs>
        <w:ind w:left="1260" w:hanging="420"/>
      </w:pPr>
    </w:lvl>
    <w:lvl w:ilvl="3" w:tentative="0">
      <w:start w:val="1"/>
      <w:numFmt w:val="bullet"/>
      <w:lvlText w:val="●"/>
      <w:lvlJc w:val="left"/>
      <w:pPr>
        <w:tabs>
          <w:tab w:val="left" w:pos="1980"/>
        </w:tabs>
        <w:ind w:left="1980" w:hanging="720"/>
      </w:pPr>
      <w:rPr>
        <w:rFonts w:ascii="宋体" w:hAnsi="宋体" w:eastAsia="宋体" w:cs="Times New Roman"/>
      </w:rPr>
    </w:lvl>
    <w:lvl w:ilvl="4" w:tentative="0">
      <w:start w:val="1"/>
      <w:numFmt w:val="decimalEnclosedCircle"/>
      <w:lvlText w:val="%5"/>
      <w:lvlJc w:val="left"/>
      <w:pPr>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08626C"/>
    <w:multiLevelType w:val="multilevel"/>
    <w:tmpl w:val="6708626C"/>
    <w:lvl w:ilvl="0" w:tentative="0">
      <w:start w:val="1"/>
      <w:numFmt w:val="decimal"/>
      <w:lvlText w:val="%1."/>
      <w:lvlJc w:val="left"/>
      <w:pPr>
        <w:ind w:left="240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240"/>
  <w:drawingGridHorizontalSpacing w:val="108"/>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B622BA"/>
    <w:rsid w:val="0000062B"/>
    <w:rsid w:val="000008C3"/>
    <w:rsid w:val="00000D9B"/>
    <w:rsid w:val="00001E5A"/>
    <w:rsid w:val="000027AF"/>
    <w:rsid w:val="00003AF0"/>
    <w:rsid w:val="00004D73"/>
    <w:rsid w:val="00005A15"/>
    <w:rsid w:val="00006D32"/>
    <w:rsid w:val="00011304"/>
    <w:rsid w:val="0001163D"/>
    <w:rsid w:val="00011FD2"/>
    <w:rsid w:val="000138DC"/>
    <w:rsid w:val="00014681"/>
    <w:rsid w:val="000152F2"/>
    <w:rsid w:val="000157FF"/>
    <w:rsid w:val="00015B82"/>
    <w:rsid w:val="0001780E"/>
    <w:rsid w:val="000202F0"/>
    <w:rsid w:val="00020537"/>
    <w:rsid w:val="00020760"/>
    <w:rsid w:val="000244FE"/>
    <w:rsid w:val="00025839"/>
    <w:rsid w:val="00025D6F"/>
    <w:rsid w:val="00025ECD"/>
    <w:rsid w:val="00026034"/>
    <w:rsid w:val="000310B3"/>
    <w:rsid w:val="000316FD"/>
    <w:rsid w:val="0003193A"/>
    <w:rsid w:val="000321CA"/>
    <w:rsid w:val="00032DFC"/>
    <w:rsid w:val="000346C7"/>
    <w:rsid w:val="00034E33"/>
    <w:rsid w:val="000351FE"/>
    <w:rsid w:val="00035EAF"/>
    <w:rsid w:val="00035EFE"/>
    <w:rsid w:val="00042113"/>
    <w:rsid w:val="00042AB8"/>
    <w:rsid w:val="00042EAF"/>
    <w:rsid w:val="00043E92"/>
    <w:rsid w:val="00044128"/>
    <w:rsid w:val="00044B27"/>
    <w:rsid w:val="000457B5"/>
    <w:rsid w:val="00046B0B"/>
    <w:rsid w:val="00051082"/>
    <w:rsid w:val="00051B78"/>
    <w:rsid w:val="00055007"/>
    <w:rsid w:val="00056279"/>
    <w:rsid w:val="00056743"/>
    <w:rsid w:val="000568D7"/>
    <w:rsid w:val="00056DD7"/>
    <w:rsid w:val="00056FC5"/>
    <w:rsid w:val="00060AC0"/>
    <w:rsid w:val="000610FA"/>
    <w:rsid w:val="00061750"/>
    <w:rsid w:val="00061ABD"/>
    <w:rsid w:val="00062463"/>
    <w:rsid w:val="00063022"/>
    <w:rsid w:val="00063F4D"/>
    <w:rsid w:val="00064484"/>
    <w:rsid w:val="000648AF"/>
    <w:rsid w:val="00066C28"/>
    <w:rsid w:val="00066E4E"/>
    <w:rsid w:val="000674C9"/>
    <w:rsid w:val="00070833"/>
    <w:rsid w:val="00071B1D"/>
    <w:rsid w:val="00071D46"/>
    <w:rsid w:val="00071EC5"/>
    <w:rsid w:val="00075268"/>
    <w:rsid w:val="000768DD"/>
    <w:rsid w:val="000769A9"/>
    <w:rsid w:val="00077562"/>
    <w:rsid w:val="0007783F"/>
    <w:rsid w:val="000818E7"/>
    <w:rsid w:val="00081DC3"/>
    <w:rsid w:val="00083D1B"/>
    <w:rsid w:val="00084052"/>
    <w:rsid w:val="00084D4A"/>
    <w:rsid w:val="00085D7D"/>
    <w:rsid w:val="00086127"/>
    <w:rsid w:val="00086594"/>
    <w:rsid w:val="00086600"/>
    <w:rsid w:val="00087DE0"/>
    <w:rsid w:val="00090B64"/>
    <w:rsid w:val="0009143D"/>
    <w:rsid w:val="00091593"/>
    <w:rsid w:val="000924F2"/>
    <w:rsid w:val="00093293"/>
    <w:rsid w:val="00095224"/>
    <w:rsid w:val="000963DF"/>
    <w:rsid w:val="000968F7"/>
    <w:rsid w:val="0009752F"/>
    <w:rsid w:val="000976ED"/>
    <w:rsid w:val="000A0127"/>
    <w:rsid w:val="000A133A"/>
    <w:rsid w:val="000A1C2C"/>
    <w:rsid w:val="000A3717"/>
    <w:rsid w:val="000A4209"/>
    <w:rsid w:val="000A456A"/>
    <w:rsid w:val="000A5C83"/>
    <w:rsid w:val="000A70E7"/>
    <w:rsid w:val="000A7238"/>
    <w:rsid w:val="000B0CC8"/>
    <w:rsid w:val="000B182E"/>
    <w:rsid w:val="000B190D"/>
    <w:rsid w:val="000B301C"/>
    <w:rsid w:val="000B3B91"/>
    <w:rsid w:val="000B6054"/>
    <w:rsid w:val="000C0105"/>
    <w:rsid w:val="000C1C38"/>
    <w:rsid w:val="000C3253"/>
    <w:rsid w:val="000C3C6C"/>
    <w:rsid w:val="000C704B"/>
    <w:rsid w:val="000C78AA"/>
    <w:rsid w:val="000D03CE"/>
    <w:rsid w:val="000D03F3"/>
    <w:rsid w:val="000D0A6E"/>
    <w:rsid w:val="000D19C7"/>
    <w:rsid w:val="000D297C"/>
    <w:rsid w:val="000D34B8"/>
    <w:rsid w:val="000D36B3"/>
    <w:rsid w:val="000D3701"/>
    <w:rsid w:val="000D3986"/>
    <w:rsid w:val="000D423E"/>
    <w:rsid w:val="000D5B65"/>
    <w:rsid w:val="000D7A9D"/>
    <w:rsid w:val="000E3BE0"/>
    <w:rsid w:val="000E3F8F"/>
    <w:rsid w:val="000E4EAD"/>
    <w:rsid w:val="000E6963"/>
    <w:rsid w:val="000E703D"/>
    <w:rsid w:val="000F0048"/>
    <w:rsid w:val="000F02FB"/>
    <w:rsid w:val="000F3098"/>
    <w:rsid w:val="000F32F6"/>
    <w:rsid w:val="000F4B19"/>
    <w:rsid w:val="000F4B86"/>
    <w:rsid w:val="000F4D97"/>
    <w:rsid w:val="000F6B69"/>
    <w:rsid w:val="000F6F58"/>
    <w:rsid w:val="0010034D"/>
    <w:rsid w:val="00100962"/>
    <w:rsid w:val="00101406"/>
    <w:rsid w:val="00101A6E"/>
    <w:rsid w:val="00101FF6"/>
    <w:rsid w:val="00102549"/>
    <w:rsid w:val="00105D78"/>
    <w:rsid w:val="00106BED"/>
    <w:rsid w:val="00107D08"/>
    <w:rsid w:val="001104B7"/>
    <w:rsid w:val="00111353"/>
    <w:rsid w:val="0011249E"/>
    <w:rsid w:val="0011293F"/>
    <w:rsid w:val="00112A1E"/>
    <w:rsid w:val="00114153"/>
    <w:rsid w:val="0011534D"/>
    <w:rsid w:val="001167E8"/>
    <w:rsid w:val="0012136F"/>
    <w:rsid w:val="001215D8"/>
    <w:rsid w:val="00121E98"/>
    <w:rsid w:val="0012279D"/>
    <w:rsid w:val="00124073"/>
    <w:rsid w:val="001248D9"/>
    <w:rsid w:val="00127393"/>
    <w:rsid w:val="00127AB2"/>
    <w:rsid w:val="00130311"/>
    <w:rsid w:val="0013095C"/>
    <w:rsid w:val="001328AF"/>
    <w:rsid w:val="001339DD"/>
    <w:rsid w:val="00133F98"/>
    <w:rsid w:val="00134112"/>
    <w:rsid w:val="001354C3"/>
    <w:rsid w:val="001363FA"/>
    <w:rsid w:val="001364D2"/>
    <w:rsid w:val="00136C4A"/>
    <w:rsid w:val="001378BD"/>
    <w:rsid w:val="00137E0B"/>
    <w:rsid w:val="0014032E"/>
    <w:rsid w:val="001406E9"/>
    <w:rsid w:val="00142DD3"/>
    <w:rsid w:val="00143B00"/>
    <w:rsid w:val="00145BD5"/>
    <w:rsid w:val="001501EC"/>
    <w:rsid w:val="0015047A"/>
    <w:rsid w:val="00150C90"/>
    <w:rsid w:val="0015174E"/>
    <w:rsid w:val="00152F03"/>
    <w:rsid w:val="001538D5"/>
    <w:rsid w:val="001542CE"/>
    <w:rsid w:val="001544D8"/>
    <w:rsid w:val="001545BF"/>
    <w:rsid w:val="001545C7"/>
    <w:rsid w:val="0015483C"/>
    <w:rsid w:val="0015499C"/>
    <w:rsid w:val="00154B2F"/>
    <w:rsid w:val="00154D3C"/>
    <w:rsid w:val="00155221"/>
    <w:rsid w:val="001558A7"/>
    <w:rsid w:val="00156C33"/>
    <w:rsid w:val="00157538"/>
    <w:rsid w:val="00162D1F"/>
    <w:rsid w:val="00162E17"/>
    <w:rsid w:val="001652C8"/>
    <w:rsid w:val="00165551"/>
    <w:rsid w:val="001657A7"/>
    <w:rsid w:val="00170E3D"/>
    <w:rsid w:val="00171EDA"/>
    <w:rsid w:val="00175D9E"/>
    <w:rsid w:val="00177CD4"/>
    <w:rsid w:val="0018011C"/>
    <w:rsid w:val="001804CB"/>
    <w:rsid w:val="00180F9A"/>
    <w:rsid w:val="001825A6"/>
    <w:rsid w:val="00184773"/>
    <w:rsid w:val="00185CC8"/>
    <w:rsid w:val="00185F65"/>
    <w:rsid w:val="00186244"/>
    <w:rsid w:val="001902F4"/>
    <w:rsid w:val="0019089E"/>
    <w:rsid w:val="0019166A"/>
    <w:rsid w:val="00192091"/>
    <w:rsid w:val="00192154"/>
    <w:rsid w:val="001922FD"/>
    <w:rsid w:val="0019464C"/>
    <w:rsid w:val="001947ED"/>
    <w:rsid w:val="00195BBE"/>
    <w:rsid w:val="00196B18"/>
    <w:rsid w:val="0019784E"/>
    <w:rsid w:val="001A0696"/>
    <w:rsid w:val="001A0784"/>
    <w:rsid w:val="001A1382"/>
    <w:rsid w:val="001A23D6"/>
    <w:rsid w:val="001A4631"/>
    <w:rsid w:val="001A5325"/>
    <w:rsid w:val="001A54EC"/>
    <w:rsid w:val="001A7571"/>
    <w:rsid w:val="001A7A9B"/>
    <w:rsid w:val="001B0B45"/>
    <w:rsid w:val="001B0D8C"/>
    <w:rsid w:val="001B0EE7"/>
    <w:rsid w:val="001B0F03"/>
    <w:rsid w:val="001B5131"/>
    <w:rsid w:val="001B5FA2"/>
    <w:rsid w:val="001B650E"/>
    <w:rsid w:val="001B6522"/>
    <w:rsid w:val="001B6AFD"/>
    <w:rsid w:val="001B73CC"/>
    <w:rsid w:val="001C22A2"/>
    <w:rsid w:val="001C5E61"/>
    <w:rsid w:val="001C6F36"/>
    <w:rsid w:val="001D0870"/>
    <w:rsid w:val="001D1011"/>
    <w:rsid w:val="001D2588"/>
    <w:rsid w:val="001D2E28"/>
    <w:rsid w:val="001D3141"/>
    <w:rsid w:val="001D75BE"/>
    <w:rsid w:val="001E0AB9"/>
    <w:rsid w:val="001E2DE9"/>
    <w:rsid w:val="001E3FD7"/>
    <w:rsid w:val="001E7B36"/>
    <w:rsid w:val="001E7F43"/>
    <w:rsid w:val="001F007B"/>
    <w:rsid w:val="001F27BD"/>
    <w:rsid w:val="001F2DB2"/>
    <w:rsid w:val="001F326F"/>
    <w:rsid w:val="001F38CC"/>
    <w:rsid w:val="002038E9"/>
    <w:rsid w:val="00205410"/>
    <w:rsid w:val="002066AA"/>
    <w:rsid w:val="00206ACE"/>
    <w:rsid w:val="00207913"/>
    <w:rsid w:val="002116F4"/>
    <w:rsid w:val="00212795"/>
    <w:rsid w:val="0021488A"/>
    <w:rsid w:val="002151DD"/>
    <w:rsid w:val="0021654D"/>
    <w:rsid w:val="00216876"/>
    <w:rsid w:val="00217594"/>
    <w:rsid w:val="00217A1C"/>
    <w:rsid w:val="002206BA"/>
    <w:rsid w:val="002207B4"/>
    <w:rsid w:val="00220EB0"/>
    <w:rsid w:val="00221AC4"/>
    <w:rsid w:val="00221F5A"/>
    <w:rsid w:val="00222329"/>
    <w:rsid w:val="002229EB"/>
    <w:rsid w:val="00226FBA"/>
    <w:rsid w:val="002272FD"/>
    <w:rsid w:val="00227386"/>
    <w:rsid w:val="00231564"/>
    <w:rsid w:val="00234A6E"/>
    <w:rsid w:val="00235106"/>
    <w:rsid w:val="002353FC"/>
    <w:rsid w:val="00235791"/>
    <w:rsid w:val="00236DA0"/>
    <w:rsid w:val="0023752D"/>
    <w:rsid w:val="002376FA"/>
    <w:rsid w:val="00237DD3"/>
    <w:rsid w:val="00240686"/>
    <w:rsid w:val="00240715"/>
    <w:rsid w:val="00241508"/>
    <w:rsid w:val="00241C19"/>
    <w:rsid w:val="00241DE2"/>
    <w:rsid w:val="00241F46"/>
    <w:rsid w:val="00242D86"/>
    <w:rsid w:val="0024372D"/>
    <w:rsid w:val="0024432B"/>
    <w:rsid w:val="002445C3"/>
    <w:rsid w:val="0024492D"/>
    <w:rsid w:val="00247ADA"/>
    <w:rsid w:val="002503EE"/>
    <w:rsid w:val="00250B0C"/>
    <w:rsid w:val="0025112B"/>
    <w:rsid w:val="00252EDA"/>
    <w:rsid w:val="002534DA"/>
    <w:rsid w:val="00253EDA"/>
    <w:rsid w:val="00254383"/>
    <w:rsid w:val="0025602C"/>
    <w:rsid w:val="002566DF"/>
    <w:rsid w:val="002566E5"/>
    <w:rsid w:val="00256CF6"/>
    <w:rsid w:val="002570DC"/>
    <w:rsid w:val="00257A9E"/>
    <w:rsid w:val="00261F48"/>
    <w:rsid w:val="00262206"/>
    <w:rsid w:val="0026275F"/>
    <w:rsid w:val="00262A38"/>
    <w:rsid w:val="00263495"/>
    <w:rsid w:val="00263D33"/>
    <w:rsid w:val="00264CA9"/>
    <w:rsid w:val="002655F6"/>
    <w:rsid w:val="0026743A"/>
    <w:rsid w:val="002707F8"/>
    <w:rsid w:val="002716E9"/>
    <w:rsid w:val="00271EAC"/>
    <w:rsid w:val="002727F1"/>
    <w:rsid w:val="00273F46"/>
    <w:rsid w:val="0027462C"/>
    <w:rsid w:val="00274FF4"/>
    <w:rsid w:val="002752E9"/>
    <w:rsid w:val="002759B1"/>
    <w:rsid w:val="002772E8"/>
    <w:rsid w:val="00277529"/>
    <w:rsid w:val="00280E91"/>
    <w:rsid w:val="002827E9"/>
    <w:rsid w:val="00282A18"/>
    <w:rsid w:val="0028310D"/>
    <w:rsid w:val="002832F1"/>
    <w:rsid w:val="00283748"/>
    <w:rsid w:val="00283B8D"/>
    <w:rsid w:val="00283CBA"/>
    <w:rsid w:val="00284B86"/>
    <w:rsid w:val="00286A82"/>
    <w:rsid w:val="00286D49"/>
    <w:rsid w:val="002875B6"/>
    <w:rsid w:val="00287A84"/>
    <w:rsid w:val="00290D04"/>
    <w:rsid w:val="00291DE8"/>
    <w:rsid w:val="00291FEF"/>
    <w:rsid w:val="0029251B"/>
    <w:rsid w:val="0029311D"/>
    <w:rsid w:val="00293125"/>
    <w:rsid w:val="00293929"/>
    <w:rsid w:val="0029420C"/>
    <w:rsid w:val="00295733"/>
    <w:rsid w:val="0029579A"/>
    <w:rsid w:val="002957D3"/>
    <w:rsid w:val="00295B94"/>
    <w:rsid w:val="00295D9D"/>
    <w:rsid w:val="002963A3"/>
    <w:rsid w:val="00297BFF"/>
    <w:rsid w:val="002A1632"/>
    <w:rsid w:val="002A4DFE"/>
    <w:rsid w:val="002A56F0"/>
    <w:rsid w:val="002A5FEE"/>
    <w:rsid w:val="002A645B"/>
    <w:rsid w:val="002B1035"/>
    <w:rsid w:val="002B3F85"/>
    <w:rsid w:val="002B6180"/>
    <w:rsid w:val="002B69CE"/>
    <w:rsid w:val="002B7E40"/>
    <w:rsid w:val="002C0142"/>
    <w:rsid w:val="002C10CA"/>
    <w:rsid w:val="002C1A77"/>
    <w:rsid w:val="002C3503"/>
    <w:rsid w:val="002C3663"/>
    <w:rsid w:val="002C3849"/>
    <w:rsid w:val="002C67F8"/>
    <w:rsid w:val="002C7022"/>
    <w:rsid w:val="002C73DE"/>
    <w:rsid w:val="002C7D0C"/>
    <w:rsid w:val="002D12F2"/>
    <w:rsid w:val="002D1498"/>
    <w:rsid w:val="002D606B"/>
    <w:rsid w:val="002D6370"/>
    <w:rsid w:val="002D6BF0"/>
    <w:rsid w:val="002D6FAF"/>
    <w:rsid w:val="002D7155"/>
    <w:rsid w:val="002D7951"/>
    <w:rsid w:val="002E047C"/>
    <w:rsid w:val="002E1070"/>
    <w:rsid w:val="002E2327"/>
    <w:rsid w:val="002E5973"/>
    <w:rsid w:val="002E5C7A"/>
    <w:rsid w:val="002E6F58"/>
    <w:rsid w:val="002F1860"/>
    <w:rsid w:val="002F1B76"/>
    <w:rsid w:val="002F1F93"/>
    <w:rsid w:val="002F2D1A"/>
    <w:rsid w:val="002F2E07"/>
    <w:rsid w:val="002F32E6"/>
    <w:rsid w:val="002F33DA"/>
    <w:rsid w:val="002F37DA"/>
    <w:rsid w:val="002F499A"/>
    <w:rsid w:val="002F4B70"/>
    <w:rsid w:val="002F5780"/>
    <w:rsid w:val="002F6BAA"/>
    <w:rsid w:val="0030078D"/>
    <w:rsid w:val="003023C8"/>
    <w:rsid w:val="003023FD"/>
    <w:rsid w:val="00302491"/>
    <w:rsid w:val="003024E2"/>
    <w:rsid w:val="00302FA1"/>
    <w:rsid w:val="00303728"/>
    <w:rsid w:val="0030516D"/>
    <w:rsid w:val="003055FB"/>
    <w:rsid w:val="00305751"/>
    <w:rsid w:val="003065E7"/>
    <w:rsid w:val="00310358"/>
    <w:rsid w:val="00310442"/>
    <w:rsid w:val="003105A9"/>
    <w:rsid w:val="00314869"/>
    <w:rsid w:val="00315730"/>
    <w:rsid w:val="0032014D"/>
    <w:rsid w:val="00320300"/>
    <w:rsid w:val="00320426"/>
    <w:rsid w:val="00321C47"/>
    <w:rsid w:val="00322C1F"/>
    <w:rsid w:val="00326558"/>
    <w:rsid w:val="003269D1"/>
    <w:rsid w:val="0032778E"/>
    <w:rsid w:val="00327D32"/>
    <w:rsid w:val="00334814"/>
    <w:rsid w:val="00335255"/>
    <w:rsid w:val="00335FBF"/>
    <w:rsid w:val="003371DB"/>
    <w:rsid w:val="00344C0E"/>
    <w:rsid w:val="00345F74"/>
    <w:rsid w:val="003462A8"/>
    <w:rsid w:val="00347251"/>
    <w:rsid w:val="00352553"/>
    <w:rsid w:val="00352614"/>
    <w:rsid w:val="00352CFA"/>
    <w:rsid w:val="003533F3"/>
    <w:rsid w:val="00353B4A"/>
    <w:rsid w:val="00360867"/>
    <w:rsid w:val="003618EA"/>
    <w:rsid w:val="00363B49"/>
    <w:rsid w:val="003645B6"/>
    <w:rsid w:val="00365BB1"/>
    <w:rsid w:val="003662B7"/>
    <w:rsid w:val="003670DF"/>
    <w:rsid w:val="00367289"/>
    <w:rsid w:val="003726CC"/>
    <w:rsid w:val="00372A6E"/>
    <w:rsid w:val="00373C00"/>
    <w:rsid w:val="00373C40"/>
    <w:rsid w:val="00374017"/>
    <w:rsid w:val="00374450"/>
    <w:rsid w:val="00374A38"/>
    <w:rsid w:val="00374CEE"/>
    <w:rsid w:val="00374E9D"/>
    <w:rsid w:val="00374FFF"/>
    <w:rsid w:val="003755B7"/>
    <w:rsid w:val="003756D4"/>
    <w:rsid w:val="00375DFF"/>
    <w:rsid w:val="003769B1"/>
    <w:rsid w:val="00376CF2"/>
    <w:rsid w:val="00377D57"/>
    <w:rsid w:val="003802C6"/>
    <w:rsid w:val="0038177F"/>
    <w:rsid w:val="003821BF"/>
    <w:rsid w:val="00387CB3"/>
    <w:rsid w:val="003911FA"/>
    <w:rsid w:val="00391DB7"/>
    <w:rsid w:val="003921BF"/>
    <w:rsid w:val="003937CD"/>
    <w:rsid w:val="00394C83"/>
    <w:rsid w:val="00396D29"/>
    <w:rsid w:val="00397EC7"/>
    <w:rsid w:val="003A0887"/>
    <w:rsid w:val="003A0AEE"/>
    <w:rsid w:val="003A0FBA"/>
    <w:rsid w:val="003A3217"/>
    <w:rsid w:val="003A3C2C"/>
    <w:rsid w:val="003A675C"/>
    <w:rsid w:val="003B0A2C"/>
    <w:rsid w:val="003B1769"/>
    <w:rsid w:val="003B1881"/>
    <w:rsid w:val="003B1A9A"/>
    <w:rsid w:val="003B2C75"/>
    <w:rsid w:val="003B3047"/>
    <w:rsid w:val="003B3C5C"/>
    <w:rsid w:val="003B3CD1"/>
    <w:rsid w:val="003B47CA"/>
    <w:rsid w:val="003B554C"/>
    <w:rsid w:val="003B55CE"/>
    <w:rsid w:val="003B61B3"/>
    <w:rsid w:val="003B6254"/>
    <w:rsid w:val="003C003A"/>
    <w:rsid w:val="003C0A17"/>
    <w:rsid w:val="003C1508"/>
    <w:rsid w:val="003C1911"/>
    <w:rsid w:val="003C1EB6"/>
    <w:rsid w:val="003C41D2"/>
    <w:rsid w:val="003C4738"/>
    <w:rsid w:val="003C6411"/>
    <w:rsid w:val="003C7469"/>
    <w:rsid w:val="003D1332"/>
    <w:rsid w:val="003D17C6"/>
    <w:rsid w:val="003D3E83"/>
    <w:rsid w:val="003D4F36"/>
    <w:rsid w:val="003D5807"/>
    <w:rsid w:val="003D5E28"/>
    <w:rsid w:val="003D5E76"/>
    <w:rsid w:val="003D723A"/>
    <w:rsid w:val="003D7B3C"/>
    <w:rsid w:val="003D7F99"/>
    <w:rsid w:val="003E013D"/>
    <w:rsid w:val="003E0A4E"/>
    <w:rsid w:val="003E0CDA"/>
    <w:rsid w:val="003E1293"/>
    <w:rsid w:val="003E1C01"/>
    <w:rsid w:val="003E1D8E"/>
    <w:rsid w:val="003E340F"/>
    <w:rsid w:val="003E605B"/>
    <w:rsid w:val="003F27DC"/>
    <w:rsid w:val="003F2F87"/>
    <w:rsid w:val="003F34E2"/>
    <w:rsid w:val="003F44E5"/>
    <w:rsid w:val="003F4D28"/>
    <w:rsid w:val="003F52BD"/>
    <w:rsid w:val="003F6C43"/>
    <w:rsid w:val="00400814"/>
    <w:rsid w:val="00400C6F"/>
    <w:rsid w:val="00402ECD"/>
    <w:rsid w:val="00404177"/>
    <w:rsid w:val="0040750B"/>
    <w:rsid w:val="00407B52"/>
    <w:rsid w:val="004102D0"/>
    <w:rsid w:val="00410A1C"/>
    <w:rsid w:val="00410ED3"/>
    <w:rsid w:val="00412D4D"/>
    <w:rsid w:val="00413539"/>
    <w:rsid w:val="00414104"/>
    <w:rsid w:val="00415CA6"/>
    <w:rsid w:val="00416375"/>
    <w:rsid w:val="0041683A"/>
    <w:rsid w:val="00416BFD"/>
    <w:rsid w:val="00417A6D"/>
    <w:rsid w:val="004212C1"/>
    <w:rsid w:val="00422E55"/>
    <w:rsid w:val="00423319"/>
    <w:rsid w:val="0042424D"/>
    <w:rsid w:val="004264CD"/>
    <w:rsid w:val="00426976"/>
    <w:rsid w:val="00426EFF"/>
    <w:rsid w:val="004271E4"/>
    <w:rsid w:val="0043034C"/>
    <w:rsid w:val="00432873"/>
    <w:rsid w:val="00432ED7"/>
    <w:rsid w:val="00433761"/>
    <w:rsid w:val="004345F3"/>
    <w:rsid w:val="00435345"/>
    <w:rsid w:val="00435469"/>
    <w:rsid w:val="0043566B"/>
    <w:rsid w:val="004358B9"/>
    <w:rsid w:val="0043612A"/>
    <w:rsid w:val="00436213"/>
    <w:rsid w:val="00436469"/>
    <w:rsid w:val="004368E8"/>
    <w:rsid w:val="00437B3D"/>
    <w:rsid w:val="0044014F"/>
    <w:rsid w:val="004407D0"/>
    <w:rsid w:val="004421F5"/>
    <w:rsid w:val="004427E8"/>
    <w:rsid w:val="00443731"/>
    <w:rsid w:val="0044464C"/>
    <w:rsid w:val="00445B00"/>
    <w:rsid w:val="0044699E"/>
    <w:rsid w:val="00451561"/>
    <w:rsid w:val="00451C08"/>
    <w:rsid w:val="004523EB"/>
    <w:rsid w:val="00453BF9"/>
    <w:rsid w:val="004553CA"/>
    <w:rsid w:val="00456A6C"/>
    <w:rsid w:val="00456A8D"/>
    <w:rsid w:val="00460F2A"/>
    <w:rsid w:val="00462D24"/>
    <w:rsid w:val="00464953"/>
    <w:rsid w:val="00471133"/>
    <w:rsid w:val="00472238"/>
    <w:rsid w:val="00477461"/>
    <w:rsid w:val="00482271"/>
    <w:rsid w:val="00482663"/>
    <w:rsid w:val="0048373B"/>
    <w:rsid w:val="00483A98"/>
    <w:rsid w:val="00483EB7"/>
    <w:rsid w:val="00485407"/>
    <w:rsid w:val="0048586A"/>
    <w:rsid w:val="004858F6"/>
    <w:rsid w:val="004868D7"/>
    <w:rsid w:val="0048712F"/>
    <w:rsid w:val="0048779F"/>
    <w:rsid w:val="004901E7"/>
    <w:rsid w:val="00491B5E"/>
    <w:rsid w:val="00493610"/>
    <w:rsid w:val="004938E1"/>
    <w:rsid w:val="00494064"/>
    <w:rsid w:val="00494589"/>
    <w:rsid w:val="00494713"/>
    <w:rsid w:val="004954D9"/>
    <w:rsid w:val="0049653E"/>
    <w:rsid w:val="00497ED4"/>
    <w:rsid w:val="004A0841"/>
    <w:rsid w:val="004A0920"/>
    <w:rsid w:val="004A0991"/>
    <w:rsid w:val="004A1AC6"/>
    <w:rsid w:val="004A2506"/>
    <w:rsid w:val="004A2F98"/>
    <w:rsid w:val="004A39DB"/>
    <w:rsid w:val="004A640A"/>
    <w:rsid w:val="004A792B"/>
    <w:rsid w:val="004A7EDE"/>
    <w:rsid w:val="004B0200"/>
    <w:rsid w:val="004B0A3B"/>
    <w:rsid w:val="004B0C3B"/>
    <w:rsid w:val="004B143D"/>
    <w:rsid w:val="004B17EC"/>
    <w:rsid w:val="004B2016"/>
    <w:rsid w:val="004B2EC9"/>
    <w:rsid w:val="004B2F38"/>
    <w:rsid w:val="004B2F74"/>
    <w:rsid w:val="004B3323"/>
    <w:rsid w:val="004B40DE"/>
    <w:rsid w:val="004C01B0"/>
    <w:rsid w:val="004C1569"/>
    <w:rsid w:val="004C21A8"/>
    <w:rsid w:val="004C35F0"/>
    <w:rsid w:val="004C36A7"/>
    <w:rsid w:val="004C42FD"/>
    <w:rsid w:val="004C49EB"/>
    <w:rsid w:val="004C5E7B"/>
    <w:rsid w:val="004C6E7E"/>
    <w:rsid w:val="004C74AB"/>
    <w:rsid w:val="004D00AC"/>
    <w:rsid w:val="004D1E99"/>
    <w:rsid w:val="004D29C9"/>
    <w:rsid w:val="004D3B8C"/>
    <w:rsid w:val="004D4A40"/>
    <w:rsid w:val="004D50F8"/>
    <w:rsid w:val="004D5646"/>
    <w:rsid w:val="004D6C79"/>
    <w:rsid w:val="004D7387"/>
    <w:rsid w:val="004E0720"/>
    <w:rsid w:val="004E1A65"/>
    <w:rsid w:val="004E2E67"/>
    <w:rsid w:val="004E2F4A"/>
    <w:rsid w:val="004F0422"/>
    <w:rsid w:val="004F13A4"/>
    <w:rsid w:val="004F3624"/>
    <w:rsid w:val="004F3F7F"/>
    <w:rsid w:val="0050023B"/>
    <w:rsid w:val="005002BB"/>
    <w:rsid w:val="00500956"/>
    <w:rsid w:val="00501C48"/>
    <w:rsid w:val="00502D48"/>
    <w:rsid w:val="00504DBF"/>
    <w:rsid w:val="005070CC"/>
    <w:rsid w:val="00507E66"/>
    <w:rsid w:val="00510489"/>
    <w:rsid w:val="00511043"/>
    <w:rsid w:val="00511A8F"/>
    <w:rsid w:val="005133B7"/>
    <w:rsid w:val="00513E30"/>
    <w:rsid w:val="00513F72"/>
    <w:rsid w:val="005201CA"/>
    <w:rsid w:val="00520F35"/>
    <w:rsid w:val="00522374"/>
    <w:rsid w:val="00522542"/>
    <w:rsid w:val="005240C8"/>
    <w:rsid w:val="00525C0E"/>
    <w:rsid w:val="00526353"/>
    <w:rsid w:val="00526D49"/>
    <w:rsid w:val="00527E24"/>
    <w:rsid w:val="00530CE7"/>
    <w:rsid w:val="00531D6A"/>
    <w:rsid w:val="00533931"/>
    <w:rsid w:val="00533CB5"/>
    <w:rsid w:val="00534314"/>
    <w:rsid w:val="00535A1F"/>
    <w:rsid w:val="00535ED3"/>
    <w:rsid w:val="0053619B"/>
    <w:rsid w:val="00540329"/>
    <w:rsid w:val="00541B22"/>
    <w:rsid w:val="00541DAC"/>
    <w:rsid w:val="0054474E"/>
    <w:rsid w:val="005453A7"/>
    <w:rsid w:val="00545BAB"/>
    <w:rsid w:val="0054796B"/>
    <w:rsid w:val="00547C96"/>
    <w:rsid w:val="00550195"/>
    <w:rsid w:val="005502CC"/>
    <w:rsid w:val="00550C43"/>
    <w:rsid w:val="00552E9F"/>
    <w:rsid w:val="00553FDC"/>
    <w:rsid w:val="0055436F"/>
    <w:rsid w:val="005550A9"/>
    <w:rsid w:val="00555E85"/>
    <w:rsid w:val="00557F99"/>
    <w:rsid w:val="00560873"/>
    <w:rsid w:val="005608AE"/>
    <w:rsid w:val="00563F06"/>
    <w:rsid w:val="00564482"/>
    <w:rsid w:val="0056489B"/>
    <w:rsid w:val="00565FA7"/>
    <w:rsid w:val="00566F9B"/>
    <w:rsid w:val="005674A1"/>
    <w:rsid w:val="00571978"/>
    <w:rsid w:val="00572B69"/>
    <w:rsid w:val="00574176"/>
    <w:rsid w:val="00575746"/>
    <w:rsid w:val="00575ABB"/>
    <w:rsid w:val="00575C51"/>
    <w:rsid w:val="00576038"/>
    <w:rsid w:val="00580B50"/>
    <w:rsid w:val="00580CBE"/>
    <w:rsid w:val="00581BFA"/>
    <w:rsid w:val="00582952"/>
    <w:rsid w:val="00583491"/>
    <w:rsid w:val="00583729"/>
    <w:rsid w:val="005837A1"/>
    <w:rsid w:val="00584535"/>
    <w:rsid w:val="00585303"/>
    <w:rsid w:val="00586DF0"/>
    <w:rsid w:val="0059076E"/>
    <w:rsid w:val="00593D48"/>
    <w:rsid w:val="00594F02"/>
    <w:rsid w:val="00596552"/>
    <w:rsid w:val="00596ADE"/>
    <w:rsid w:val="00597326"/>
    <w:rsid w:val="00597FA9"/>
    <w:rsid w:val="005A264E"/>
    <w:rsid w:val="005A38D5"/>
    <w:rsid w:val="005A3D32"/>
    <w:rsid w:val="005A3D8A"/>
    <w:rsid w:val="005A492C"/>
    <w:rsid w:val="005A56D5"/>
    <w:rsid w:val="005A63B3"/>
    <w:rsid w:val="005A71D2"/>
    <w:rsid w:val="005A79A5"/>
    <w:rsid w:val="005A7F4E"/>
    <w:rsid w:val="005B0555"/>
    <w:rsid w:val="005B2308"/>
    <w:rsid w:val="005B23AF"/>
    <w:rsid w:val="005B247F"/>
    <w:rsid w:val="005B2FEA"/>
    <w:rsid w:val="005B38D8"/>
    <w:rsid w:val="005B3E9E"/>
    <w:rsid w:val="005B42DE"/>
    <w:rsid w:val="005B4C41"/>
    <w:rsid w:val="005B5709"/>
    <w:rsid w:val="005C087C"/>
    <w:rsid w:val="005C08AA"/>
    <w:rsid w:val="005C1113"/>
    <w:rsid w:val="005C208F"/>
    <w:rsid w:val="005C33EB"/>
    <w:rsid w:val="005C39A6"/>
    <w:rsid w:val="005C3C16"/>
    <w:rsid w:val="005C4213"/>
    <w:rsid w:val="005C421B"/>
    <w:rsid w:val="005C4996"/>
    <w:rsid w:val="005C6214"/>
    <w:rsid w:val="005C71A6"/>
    <w:rsid w:val="005C72CC"/>
    <w:rsid w:val="005C7703"/>
    <w:rsid w:val="005C771F"/>
    <w:rsid w:val="005D0183"/>
    <w:rsid w:val="005D2AED"/>
    <w:rsid w:val="005D2CAE"/>
    <w:rsid w:val="005D2F82"/>
    <w:rsid w:val="005D315B"/>
    <w:rsid w:val="005D4DD1"/>
    <w:rsid w:val="005D52B4"/>
    <w:rsid w:val="005D5AF8"/>
    <w:rsid w:val="005D712F"/>
    <w:rsid w:val="005E0C4E"/>
    <w:rsid w:val="005E0FD1"/>
    <w:rsid w:val="005E21B1"/>
    <w:rsid w:val="005E33D3"/>
    <w:rsid w:val="005E34F7"/>
    <w:rsid w:val="005E418A"/>
    <w:rsid w:val="005E48D3"/>
    <w:rsid w:val="005E4BCF"/>
    <w:rsid w:val="005E546D"/>
    <w:rsid w:val="005E740B"/>
    <w:rsid w:val="005E743C"/>
    <w:rsid w:val="005E7523"/>
    <w:rsid w:val="005F080F"/>
    <w:rsid w:val="005F0B07"/>
    <w:rsid w:val="005F1589"/>
    <w:rsid w:val="005F1616"/>
    <w:rsid w:val="005F270E"/>
    <w:rsid w:val="005F2F5F"/>
    <w:rsid w:val="005F3943"/>
    <w:rsid w:val="005F4163"/>
    <w:rsid w:val="005F5079"/>
    <w:rsid w:val="005F675B"/>
    <w:rsid w:val="005F7732"/>
    <w:rsid w:val="006009A6"/>
    <w:rsid w:val="006012FB"/>
    <w:rsid w:val="00601350"/>
    <w:rsid w:val="00601775"/>
    <w:rsid w:val="00604977"/>
    <w:rsid w:val="00604C44"/>
    <w:rsid w:val="006052B8"/>
    <w:rsid w:val="00605431"/>
    <w:rsid w:val="00605DCE"/>
    <w:rsid w:val="006072BD"/>
    <w:rsid w:val="0061018A"/>
    <w:rsid w:val="006120EF"/>
    <w:rsid w:val="00615CBE"/>
    <w:rsid w:val="00620137"/>
    <w:rsid w:val="006211D0"/>
    <w:rsid w:val="00622D67"/>
    <w:rsid w:val="00623468"/>
    <w:rsid w:val="00626066"/>
    <w:rsid w:val="00626B77"/>
    <w:rsid w:val="00631A0F"/>
    <w:rsid w:val="006323FA"/>
    <w:rsid w:val="00634A40"/>
    <w:rsid w:val="00634AC5"/>
    <w:rsid w:val="00634DA9"/>
    <w:rsid w:val="0064258C"/>
    <w:rsid w:val="006425B3"/>
    <w:rsid w:val="00643D13"/>
    <w:rsid w:val="00644702"/>
    <w:rsid w:val="00645408"/>
    <w:rsid w:val="006461C9"/>
    <w:rsid w:val="00646512"/>
    <w:rsid w:val="00646E67"/>
    <w:rsid w:val="0064700B"/>
    <w:rsid w:val="0065034F"/>
    <w:rsid w:val="006507F3"/>
    <w:rsid w:val="0065338A"/>
    <w:rsid w:val="00653ACC"/>
    <w:rsid w:val="00653F38"/>
    <w:rsid w:val="0065402E"/>
    <w:rsid w:val="00654304"/>
    <w:rsid w:val="00654308"/>
    <w:rsid w:val="00654997"/>
    <w:rsid w:val="00654C8A"/>
    <w:rsid w:val="00655306"/>
    <w:rsid w:val="0065617B"/>
    <w:rsid w:val="00656F6C"/>
    <w:rsid w:val="00660449"/>
    <w:rsid w:val="00660A36"/>
    <w:rsid w:val="00662580"/>
    <w:rsid w:val="0066281F"/>
    <w:rsid w:val="0066437D"/>
    <w:rsid w:val="0066469B"/>
    <w:rsid w:val="00664CEF"/>
    <w:rsid w:val="00666D6D"/>
    <w:rsid w:val="0066755A"/>
    <w:rsid w:val="00667E01"/>
    <w:rsid w:val="00670544"/>
    <w:rsid w:val="00672183"/>
    <w:rsid w:val="00673403"/>
    <w:rsid w:val="00673DB9"/>
    <w:rsid w:val="00674723"/>
    <w:rsid w:val="00674C21"/>
    <w:rsid w:val="00674DB6"/>
    <w:rsid w:val="006768C4"/>
    <w:rsid w:val="00677063"/>
    <w:rsid w:val="00677265"/>
    <w:rsid w:val="0067763E"/>
    <w:rsid w:val="0067769F"/>
    <w:rsid w:val="006778EC"/>
    <w:rsid w:val="00684741"/>
    <w:rsid w:val="0069270B"/>
    <w:rsid w:val="00694687"/>
    <w:rsid w:val="0069513F"/>
    <w:rsid w:val="00695598"/>
    <w:rsid w:val="006978C3"/>
    <w:rsid w:val="00697F91"/>
    <w:rsid w:val="006A10CE"/>
    <w:rsid w:val="006A2692"/>
    <w:rsid w:val="006A545B"/>
    <w:rsid w:val="006A6EB0"/>
    <w:rsid w:val="006A7E19"/>
    <w:rsid w:val="006B01B1"/>
    <w:rsid w:val="006B0257"/>
    <w:rsid w:val="006B04C1"/>
    <w:rsid w:val="006B3CD5"/>
    <w:rsid w:val="006B40F4"/>
    <w:rsid w:val="006B49C8"/>
    <w:rsid w:val="006B6167"/>
    <w:rsid w:val="006B673E"/>
    <w:rsid w:val="006B719C"/>
    <w:rsid w:val="006B77B4"/>
    <w:rsid w:val="006B78B5"/>
    <w:rsid w:val="006C0ED4"/>
    <w:rsid w:val="006C271E"/>
    <w:rsid w:val="006C3981"/>
    <w:rsid w:val="006C48CB"/>
    <w:rsid w:val="006D0026"/>
    <w:rsid w:val="006D0713"/>
    <w:rsid w:val="006D2C03"/>
    <w:rsid w:val="006D3046"/>
    <w:rsid w:val="006D3574"/>
    <w:rsid w:val="006D3971"/>
    <w:rsid w:val="006D3A49"/>
    <w:rsid w:val="006D476B"/>
    <w:rsid w:val="006D4881"/>
    <w:rsid w:val="006D5933"/>
    <w:rsid w:val="006D5BCD"/>
    <w:rsid w:val="006D658C"/>
    <w:rsid w:val="006E2A9B"/>
    <w:rsid w:val="006E31DD"/>
    <w:rsid w:val="006E53D7"/>
    <w:rsid w:val="006E6149"/>
    <w:rsid w:val="006E64FB"/>
    <w:rsid w:val="006E6B6E"/>
    <w:rsid w:val="006E7438"/>
    <w:rsid w:val="006F01BB"/>
    <w:rsid w:val="006F0C5A"/>
    <w:rsid w:val="006F318C"/>
    <w:rsid w:val="006F4A63"/>
    <w:rsid w:val="006F4DBB"/>
    <w:rsid w:val="006F65A0"/>
    <w:rsid w:val="007013EE"/>
    <w:rsid w:val="00701C82"/>
    <w:rsid w:val="00702066"/>
    <w:rsid w:val="007032B7"/>
    <w:rsid w:val="00703A05"/>
    <w:rsid w:val="00703F07"/>
    <w:rsid w:val="0070435D"/>
    <w:rsid w:val="00704559"/>
    <w:rsid w:val="007051F3"/>
    <w:rsid w:val="00705D2A"/>
    <w:rsid w:val="007103B4"/>
    <w:rsid w:val="00710B35"/>
    <w:rsid w:val="0071103F"/>
    <w:rsid w:val="00712786"/>
    <w:rsid w:val="00712EDD"/>
    <w:rsid w:val="007137C5"/>
    <w:rsid w:val="00714183"/>
    <w:rsid w:val="0071468B"/>
    <w:rsid w:val="0071710E"/>
    <w:rsid w:val="00717EE5"/>
    <w:rsid w:val="0072034E"/>
    <w:rsid w:val="0072064C"/>
    <w:rsid w:val="007225EC"/>
    <w:rsid w:val="007227FE"/>
    <w:rsid w:val="007236D9"/>
    <w:rsid w:val="00724A7F"/>
    <w:rsid w:val="00725359"/>
    <w:rsid w:val="00725371"/>
    <w:rsid w:val="00726C29"/>
    <w:rsid w:val="0073376F"/>
    <w:rsid w:val="00736D69"/>
    <w:rsid w:val="00737515"/>
    <w:rsid w:val="007424B1"/>
    <w:rsid w:val="00743A96"/>
    <w:rsid w:val="007456E2"/>
    <w:rsid w:val="007464A8"/>
    <w:rsid w:val="00746F0A"/>
    <w:rsid w:val="007475B4"/>
    <w:rsid w:val="00747BFB"/>
    <w:rsid w:val="00750B89"/>
    <w:rsid w:val="00751D3A"/>
    <w:rsid w:val="007538B9"/>
    <w:rsid w:val="00754689"/>
    <w:rsid w:val="007566A4"/>
    <w:rsid w:val="00756976"/>
    <w:rsid w:val="00757582"/>
    <w:rsid w:val="0075770F"/>
    <w:rsid w:val="0076012A"/>
    <w:rsid w:val="00760995"/>
    <w:rsid w:val="00760A75"/>
    <w:rsid w:val="0076381B"/>
    <w:rsid w:val="007644E3"/>
    <w:rsid w:val="00764BF6"/>
    <w:rsid w:val="0076539B"/>
    <w:rsid w:val="00765938"/>
    <w:rsid w:val="00765991"/>
    <w:rsid w:val="00766E2D"/>
    <w:rsid w:val="00766FD9"/>
    <w:rsid w:val="007708D1"/>
    <w:rsid w:val="007709BE"/>
    <w:rsid w:val="00772A39"/>
    <w:rsid w:val="00773750"/>
    <w:rsid w:val="00774243"/>
    <w:rsid w:val="0077429C"/>
    <w:rsid w:val="00774B23"/>
    <w:rsid w:val="007750F2"/>
    <w:rsid w:val="00782838"/>
    <w:rsid w:val="007829D4"/>
    <w:rsid w:val="007840D8"/>
    <w:rsid w:val="007854B8"/>
    <w:rsid w:val="00786C3E"/>
    <w:rsid w:val="00786CEA"/>
    <w:rsid w:val="00790769"/>
    <w:rsid w:val="00790832"/>
    <w:rsid w:val="00792C23"/>
    <w:rsid w:val="00793822"/>
    <w:rsid w:val="007A08CB"/>
    <w:rsid w:val="007A117C"/>
    <w:rsid w:val="007A1FFA"/>
    <w:rsid w:val="007A28E3"/>
    <w:rsid w:val="007A2EE8"/>
    <w:rsid w:val="007A3559"/>
    <w:rsid w:val="007A5379"/>
    <w:rsid w:val="007B0280"/>
    <w:rsid w:val="007B07D3"/>
    <w:rsid w:val="007B0DBB"/>
    <w:rsid w:val="007B27EB"/>
    <w:rsid w:val="007B28C9"/>
    <w:rsid w:val="007B45D0"/>
    <w:rsid w:val="007B519F"/>
    <w:rsid w:val="007B5A11"/>
    <w:rsid w:val="007B61AB"/>
    <w:rsid w:val="007B715E"/>
    <w:rsid w:val="007C10C8"/>
    <w:rsid w:val="007C17A2"/>
    <w:rsid w:val="007C1C0E"/>
    <w:rsid w:val="007C2006"/>
    <w:rsid w:val="007C20E1"/>
    <w:rsid w:val="007C2715"/>
    <w:rsid w:val="007C6001"/>
    <w:rsid w:val="007C781F"/>
    <w:rsid w:val="007D0AA8"/>
    <w:rsid w:val="007D1420"/>
    <w:rsid w:val="007D23ED"/>
    <w:rsid w:val="007D4068"/>
    <w:rsid w:val="007D5186"/>
    <w:rsid w:val="007D7601"/>
    <w:rsid w:val="007D7A75"/>
    <w:rsid w:val="007E2C69"/>
    <w:rsid w:val="007E349D"/>
    <w:rsid w:val="007E3AFD"/>
    <w:rsid w:val="007E3EA4"/>
    <w:rsid w:val="007E44FC"/>
    <w:rsid w:val="007E470A"/>
    <w:rsid w:val="007E5964"/>
    <w:rsid w:val="007E6087"/>
    <w:rsid w:val="007E64FA"/>
    <w:rsid w:val="007E7419"/>
    <w:rsid w:val="007E7E90"/>
    <w:rsid w:val="007F064A"/>
    <w:rsid w:val="007F06DE"/>
    <w:rsid w:val="007F3128"/>
    <w:rsid w:val="007F3ABF"/>
    <w:rsid w:val="007F3B77"/>
    <w:rsid w:val="007F55CA"/>
    <w:rsid w:val="007F6BF6"/>
    <w:rsid w:val="007F7873"/>
    <w:rsid w:val="007F799A"/>
    <w:rsid w:val="0080070C"/>
    <w:rsid w:val="0080090C"/>
    <w:rsid w:val="00800C26"/>
    <w:rsid w:val="00800D45"/>
    <w:rsid w:val="00801F6E"/>
    <w:rsid w:val="00801FBC"/>
    <w:rsid w:val="008025D3"/>
    <w:rsid w:val="0080293F"/>
    <w:rsid w:val="00802AB6"/>
    <w:rsid w:val="00802D69"/>
    <w:rsid w:val="00802DB3"/>
    <w:rsid w:val="00803472"/>
    <w:rsid w:val="00804BA3"/>
    <w:rsid w:val="008075EF"/>
    <w:rsid w:val="0080778E"/>
    <w:rsid w:val="00807E00"/>
    <w:rsid w:val="00810B86"/>
    <w:rsid w:val="00814A37"/>
    <w:rsid w:val="008157EC"/>
    <w:rsid w:val="008162F4"/>
    <w:rsid w:val="008169F5"/>
    <w:rsid w:val="00817F75"/>
    <w:rsid w:val="00820BB0"/>
    <w:rsid w:val="00821B06"/>
    <w:rsid w:val="008222D7"/>
    <w:rsid w:val="00822A92"/>
    <w:rsid w:val="00822BC8"/>
    <w:rsid w:val="00823945"/>
    <w:rsid w:val="00824E51"/>
    <w:rsid w:val="0082573D"/>
    <w:rsid w:val="00826BB8"/>
    <w:rsid w:val="00826BE7"/>
    <w:rsid w:val="00827263"/>
    <w:rsid w:val="008275BC"/>
    <w:rsid w:val="00827810"/>
    <w:rsid w:val="00831744"/>
    <w:rsid w:val="008323A4"/>
    <w:rsid w:val="0083285C"/>
    <w:rsid w:val="008354C2"/>
    <w:rsid w:val="008356DB"/>
    <w:rsid w:val="00837161"/>
    <w:rsid w:val="00837D47"/>
    <w:rsid w:val="00837F28"/>
    <w:rsid w:val="00840B07"/>
    <w:rsid w:val="00840F68"/>
    <w:rsid w:val="00842326"/>
    <w:rsid w:val="00843620"/>
    <w:rsid w:val="0084425B"/>
    <w:rsid w:val="00844BBE"/>
    <w:rsid w:val="008457F0"/>
    <w:rsid w:val="00845A11"/>
    <w:rsid w:val="00845DD0"/>
    <w:rsid w:val="00846DB6"/>
    <w:rsid w:val="00852FED"/>
    <w:rsid w:val="00853AB8"/>
    <w:rsid w:val="00857036"/>
    <w:rsid w:val="0085716F"/>
    <w:rsid w:val="0086002F"/>
    <w:rsid w:val="00862107"/>
    <w:rsid w:val="00862CC7"/>
    <w:rsid w:val="00863071"/>
    <w:rsid w:val="00867F37"/>
    <w:rsid w:val="008703C5"/>
    <w:rsid w:val="00870993"/>
    <w:rsid w:val="00870CE0"/>
    <w:rsid w:val="008741A8"/>
    <w:rsid w:val="00874D23"/>
    <w:rsid w:val="0087521F"/>
    <w:rsid w:val="008760CA"/>
    <w:rsid w:val="0087688C"/>
    <w:rsid w:val="008811B1"/>
    <w:rsid w:val="008812BA"/>
    <w:rsid w:val="00882FC1"/>
    <w:rsid w:val="00883528"/>
    <w:rsid w:val="00884D52"/>
    <w:rsid w:val="00885094"/>
    <w:rsid w:val="008864E9"/>
    <w:rsid w:val="00886AF8"/>
    <w:rsid w:val="00887D54"/>
    <w:rsid w:val="008916AB"/>
    <w:rsid w:val="00891ED6"/>
    <w:rsid w:val="00892717"/>
    <w:rsid w:val="00893142"/>
    <w:rsid w:val="00893A35"/>
    <w:rsid w:val="00894333"/>
    <w:rsid w:val="00894788"/>
    <w:rsid w:val="00894E8F"/>
    <w:rsid w:val="00895BD6"/>
    <w:rsid w:val="008A020A"/>
    <w:rsid w:val="008A081E"/>
    <w:rsid w:val="008A0B61"/>
    <w:rsid w:val="008A0D9D"/>
    <w:rsid w:val="008A10B1"/>
    <w:rsid w:val="008A1112"/>
    <w:rsid w:val="008A136C"/>
    <w:rsid w:val="008A22C5"/>
    <w:rsid w:val="008A4375"/>
    <w:rsid w:val="008A472B"/>
    <w:rsid w:val="008A4CE0"/>
    <w:rsid w:val="008A5C48"/>
    <w:rsid w:val="008A5EEE"/>
    <w:rsid w:val="008A6177"/>
    <w:rsid w:val="008A6A01"/>
    <w:rsid w:val="008A6B93"/>
    <w:rsid w:val="008A70AC"/>
    <w:rsid w:val="008A760D"/>
    <w:rsid w:val="008B0530"/>
    <w:rsid w:val="008B0D9F"/>
    <w:rsid w:val="008B1043"/>
    <w:rsid w:val="008B3AE1"/>
    <w:rsid w:val="008B3F82"/>
    <w:rsid w:val="008B4A07"/>
    <w:rsid w:val="008B59AC"/>
    <w:rsid w:val="008C055A"/>
    <w:rsid w:val="008C2E29"/>
    <w:rsid w:val="008C3234"/>
    <w:rsid w:val="008C4220"/>
    <w:rsid w:val="008C47F3"/>
    <w:rsid w:val="008C6424"/>
    <w:rsid w:val="008C6664"/>
    <w:rsid w:val="008C793F"/>
    <w:rsid w:val="008D1003"/>
    <w:rsid w:val="008D1D1D"/>
    <w:rsid w:val="008D27FA"/>
    <w:rsid w:val="008D43FA"/>
    <w:rsid w:val="008D485D"/>
    <w:rsid w:val="008D5128"/>
    <w:rsid w:val="008D7268"/>
    <w:rsid w:val="008E01E9"/>
    <w:rsid w:val="008E1755"/>
    <w:rsid w:val="008E1B19"/>
    <w:rsid w:val="008E24B6"/>
    <w:rsid w:val="008E407E"/>
    <w:rsid w:val="008E4A8F"/>
    <w:rsid w:val="008E5465"/>
    <w:rsid w:val="008E64F9"/>
    <w:rsid w:val="008E6816"/>
    <w:rsid w:val="008E6D02"/>
    <w:rsid w:val="008E7D6D"/>
    <w:rsid w:val="008F1645"/>
    <w:rsid w:val="008F1CD3"/>
    <w:rsid w:val="008F3716"/>
    <w:rsid w:val="008F3898"/>
    <w:rsid w:val="008F43D4"/>
    <w:rsid w:val="008F4D0A"/>
    <w:rsid w:val="008F67DD"/>
    <w:rsid w:val="008F7359"/>
    <w:rsid w:val="0090105F"/>
    <w:rsid w:val="00901095"/>
    <w:rsid w:val="009014C2"/>
    <w:rsid w:val="00901A96"/>
    <w:rsid w:val="00901B2E"/>
    <w:rsid w:val="0090215E"/>
    <w:rsid w:val="00902751"/>
    <w:rsid w:val="009037BD"/>
    <w:rsid w:val="00903DB0"/>
    <w:rsid w:val="009054E1"/>
    <w:rsid w:val="0090794B"/>
    <w:rsid w:val="0091312A"/>
    <w:rsid w:val="009161D7"/>
    <w:rsid w:val="0091734F"/>
    <w:rsid w:val="00917CC8"/>
    <w:rsid w:val="00920B02"/>
    <w:rsid w:val="00921516"/>
    <w:rsid w:val="009237E3"/>
    <w:rsid w:val="009246AF"/>
    <w:rsid w:val="00924E61"/>
    <w:rsid w:val="009271BB"/>
    <w:rsid w:val="00927557"/>
    <w:rsid w:val="009309C7"/>
    <w:rsid w:val="0093295F"/>
    <w:rsid w:val="00932C1B"/>
    <w:rsid w:val="00932DCA"/>
    <w:rsid w:val="00934762"/>
    <w:rsid w:val="009347B9"/>
    <w:rsid w:val="00934992"/>
    <w:rsid w:val="00934F5F"/>
    <w:rsid w:val="00936301"/>
    <w:rsid w:val="00940DB7"/>
    <w:rsid w:val="00940F61"/>
    <w:rsid w:val="0094232F"/>
    <w:rsid w:val="00942619"/>
    <w:rsid w:val="0094353E"/>
    <w:rsid w:val="00944330"/>
    <w:rsid w:val="00945784"/>
    <w:rsid w:val="00947B91"/>
    <w:rsid w:val="00947F8A"/>
    <w:rsid w:val="00950EB5"/>
    <w:rsid w:val="00951C07"/>
    <w:rsid w:val="0095203F"/>
    <w:rsid w:val="0095371A"/>
    <w:rsid w:val="009568C4"/>
    <w:rsid w:val="00960A0E"/>
    <w:rsid w:val="00961635"/>
    <w:rsid w:val="00962AE6"/>
    <w:rsid w:val="00964C57"/>
    <w:rsid w:val="00965790"/>
    <w:rsid w:val="009658E2"/>
    <w:rsid w:val="00965D58"/>
    <w:rsid w:val="0096653D"/>
    <w:rsid w:val="00970AF1"/>
    <w:rsid w:val="00970B22"/>
    <w:rsid w:val="00970DEE"/>
    <w:rsid w:val="00971032"/>
    <w:rsid w:val="0097186F"/>
    <w:rsid w:val="00971C52"/>
    <w:rsid w:val="00971F84"/>
    <w:rsid w:val="00972B28"/>
    <w:rsid w:val="00972FEC"/>
    <w:rsid w:val="0097465B"/>
    <w:rsid w:val="00974728"/>
    <w:rsid w:val="00974C52"/>
    <w:rsid w:val="0097540C"/>
    <w:rsid w:val="009756AD"/>
    <w:rsid w:val="009765B0"/>
    <w:rsid w:val="0098087C"/>
    <w:rsid w:val="00980FB9"/>
    <w:rsid w:val="0098333C"/>
    <w:rsid w:val="009850B1"/>
    <w:rsid w:val="009854B7"/>
    <w:rsid w:val="0098635C"/>
    <w:rsid w:val="00987086"/>
    <w:rsid w:val="00987A64"/>
    <w:rsid w:val="00987C6D"/>
    <w:rsid w:val="00990DDC"/>
    <w:rsid w:val="00991CAE"/>
    <w:rsid w:val="00995D8A"/>
    <w:rsid w:val="0099621D"/>
    <w:rsid w:val="00996861"/>
    <w:rsid w:val="00997095"/>
    <w:rsid w:val="009970BE"/>
    <w:rsid w:val="009A0C04"/>
    <w:rsid w:val="009A0F97"/>
    <w:rsid w:val="009A140D"/>
    <w:rsid w:val="009A1A90"/>
    <w:rsid w:val="009A30BD"/>
    <w:rsid w:val="009A3978"/>
    <w:rsid w:val="009A48CB"/>
    <w:rsid w:val="009A5F91"/>
    <w:rsid w:val="009A7584"/>
    <w:rsid w:val="009B0038"/>
    <w:rsid w:val="009B2D67"/>
    <w:rsid w:val="009B3B8A"/>
    <w:rsid w:val="009B5A60"/>
    <w:rsid w:val="009B6895"/>
    <w:rsid w:val="009B6C77"/>
    <w:rsid w:val="009C0848"/>
    <w:rsid w:val="009C10C0"/>
    <w:rsid w:val="009C3B4A"/>
    <w:rsid w:val="009C3E77"/>
    <w:rsid w:val="009C4721"/>
    <w:rsid w:val="009C491E"/>
    <w:rsid w:val="009C512A"/>
    <w:rsid w:val="009C5BF3"/>
    <w:rsid w:val="009C5CE2"/>
    <w:rsid w:val="009C6BC4"/>
    <w:rsid w:val="009C73EF"/>
    <w:rsid w:val="009D072F"/>
    <w:rsid w:val="009D16BA"/>
    <w:rsid w:val="009D20B4"/>
    <w:rsid w:val="009D3D67"/>
    <w:rsid w:val="009D41E5"/>
    <w:rsid w:val="009D4546"/>
    <w:rsid w:val="009D4D12"/>
    <w:rsid w:val="009D7D37"/>
    <w:rsid w:val="009E127F"/>
    <w:rsid w:val="009E1532"/>
    <w:rsid w:val="009E1995"/>
    <w:rsid w:val="009E6BAD"/>
    <w:rsid w:val="009E73AA"/>
    <w:rsid w:val="009E7A57"/>
    <w:rsid w:val="009F2DBD"/>
    <w:rsid w:val="009F370D"/>
    <w:rsid w:val="009F395D"/>
    <w:rsid w:val="009F3DE9"/>
    <w:rsid w:val="009F4297"/>
    <w:rsid w:val="009F5836"/>
    <w:rsid w:val="009F5F19"/>
    <w:rsid w:val="009F6DB6"/>
    <w:rsid w:val="00A01481"/>
    <w:rsid w:val="00A0155A"/>
    <w:rsid w:val="00A03250"/>
    <w:rsid w:val="00A036FA"/>
    <w:rsid w:val="00A04AB6"/>
    <w:rsid w:val="00A061ED"/>
    <w:rsid w:val="00A067DB"/>
    <w:rsid w:val="00A12A22"/>
    <w:rsid w:val="00A15643"/>
    <w:rsid w:val="00A172F6"/>
    <w:rsid w:val="00A1771A"/>
    <w:rsid w:val="00A17A85"/>
    <w:rsid w:val="00A17BA4"/>
    <w:rsid w:val="00A202CE"/>
    <w:rsid w:val="00A2136E"/>
    <w:rsid w:val="00A21434"/>
    <w:rsid w:val="00A223A5"/>
    <w:rsid w:val="00A22982"/>
    <w:rsid w:val="00A2356F"/>
    <w:rsid w:val="00A23AF5"/>
    <w:rsid w:val="00A2451E"/>
    <w:rsid w:val="00A245C3"/>
    <w:rsid w:val="00A246B9"/>
    <w:rsid w:val="00A247DF"/>
    <w:rsid w:val="00A24B29"/>
    <w:rsid w:val="00A24C4E"/>
    <w:rsid w:val="00A25923"/>
    <w:rsid w:val="00A26C30"/>
    <w:rsid w:val="00A270B1"/>
    <w:rsid w:val="00A30386"/>
    <w:rsid w:val="00A304B1"/>
    <w:rsid w:val="00A317EE"/>
    <w:rsid w:val="00A31B4F"/>
    <w:rsid w:val="00A31FE4"/>
    <w:rsid w:val="00A3256C"/>
    <w:rsid w:val="00A33CC8"/>
    <w:rsid w:val="00A340EF"/>
    <w:rsid w:val="00A340F2"/>
    <w:rsid w:val="00A34353"/>
    <w:rsid w:val="00A353F9"/>
    <w:rsid w:val="00A3734D"/>
    <w:rsid w:val="00A4183E"/>
    <w:rsid w:val="00A42F04"/>
    <w:rsid w:val="00A4317A"/>
    <w:rsid w:val="00A4455F"/>
    <w:rsid w:val="00A4496E"/>
    <w:rsid w:val="00A44B78"/>
    <w:rsid w:val="00A44F54"/>
    <w:rsid w:val="00A459D0"/>
    <w:rsid w:val="00A45AB8"/>
    <w:rsid w:val="00A460A1"/>
    <w:rsid w:val="00A46B9D"/>
    <w:rsid w:val="00A47E13"/>
    <w:rsid w:val="00A5046F"/>
    <w:rsid w:val="00A55D3F"/>
    <w:rsid w:val="00A56974"/>
    <w:rsid w:val="00A5705E"/>
    <w:rsid w:val="00A604E4"/>
    <w:rsid w:val="00A63DAE"/>
    <w:rsid w:val="00A645A0"/>
    <w:rsid w:val="00A65AE0"/>
    <w:rsid w:val="00A6649F"/>
    <w:rsid w:val="00A664E4"/>
    <w:rsid w:val="00A66CDD"/>
    <w:rsid w:val="00A66EC2"/>
    <w:rsid w:val="00A720BB"/>
    <w:rsid w:val="00A752CB"/>
    <w:rsid w:val="00A774EA"/>
    <w:rsid w:val="00A77B9B"/>
    <w:rsid w:val="00A8072F"/>
    <w:rsid w:val="00A80BCD"/>
    <w:rsid w:val="00A812C6"/>
    <w:rsid w:val="00A81D3B"/>
    <w:rsid w:val="00A838EE"/>
    <w:rsid w:val="00A83B9F"/>
    <w:rsid w:val="00A844FC"/>
    <w:rsid w:val="00A84D5D"/>
    <w:rsid w:val="00A86E10"/>
    <w:rsid w:val="00A87147"/>
    <w:rsid w:val="00A940F3"/>
    <w:rsid w:val="00A9462F"/>
    <w:rsid w:val="00A947A4"/>
    <w:rsid w:val="00A94C75"/>
    <w:rsid w:val="00A965AE"/>
    <w:rsid w:val="00A96AA4"/>
    <w:rsid w:val="00AA010A"/>
    <w:rsid w:val="00AA2439"/>
    <w:rsid w:val="00AA44D4"/>
    <w:rsid w:val="00AA7852"/>
    <w:rsid w:val="00AA7F82"/>
    <w:rsid w:val="00AB041D"/>
    <w:rsid w:val="00AB0A47"/>
    <w:rsid w:val="00AB2F9F"/>
    <w:rsid w:val="00AB3242"/>
    <w:rsid w:val="00AB382A"/>
    <w:rsid w:val="00AB49E9"/>
    <w:rsid w:val="00AB4BB2"/>
    <w:rsid w:val="00AB4CBA"/>
    <w:rsid w:val="00AB5520"/>
    <w:rsid w:val="00AB5B5F"/>
    <w:rsid w:val="00AB6A24"/>
    <w:rsid w:val="00AC0AFC"/>
    <w:rsid w:val="00AC3DF0"/>
    <w:rsid w:val="00AC4DBA"/>
    <w:rsid w:val="00AC5892"/>
    <w:rsid w:val="00AC5B52"/>
    <w:rsid w:val="00AC6E97"/>
    <w:rsid w:val="00AD1168"/>
    <w:rsid w:val="00AD2682"/>
    <w:rsid w:val="00AD3120"/>
    <w:rsid w:val="00AD3CFF"/>
    <w:rsid w:val="00AD4843"/>
    <w:rsid w:val="00AD5623"/>
    <w:rsid w:val="00AD6A68"/>
    <w:rsid w:val="00AD6C6F"/>
    <w:rsid w:val="00AD6DA3"/>
    <w:rsid w:val="00AD744D"/>
    <w:rsid w:val="00AD7538"/>
    <w:rsid w:val="00AD78BA"/>
    <w:rsid w:val="00AD7AA7"/>
    <w:rsid w:val="00AD7E16"/>
    <w:rsid w:val="00AE0414"/>
    <w:rsid w:val="00AE114C"/>
    <w:rsid w:val="00AE2498"/>
    <w:rsid w:val="00AE38DB"/>
    <w:rsid w:val="00AE4402"/>
    <w:rsid w:val="00AE4D40"/>
    <w:rsid w:val="00AE561D"/>
    <w:rsid w:val="00AE7C49"/>
    <w:rsid w:val="00AF18C9"/>
    <w:rsid w:val="00AF1F54"/>
    <w:rsid w:val="00AF385E"/>
    <w:rsid w:val="00AF4782"/>
    <w:rsid w:val="00AF691C"/>
    <w:rsid w:val="00AF79E6"/>
    <w:rsid w:val="00B00A7F"/>
    <w:rsid w:val="00B0183E"/>
    <w:rsid w:val="00B01B11"/>
    <w:rsid w:val="00B02672"/>
    <w:rsid w:val="00B033A2"/>
    <w:rsid w:val="00B0393F"/>
    <w:rsid w:val="00B040B5"/>
    <w:rsid w:val="00B057DE"/>
    <w:rsid w:val="00B059C7"/>
    <w:rsid w:val="00B06F23"/>
    <w:rsid w:val="00B07475"/>
    <w:rsid w:val="00B0778A"/>
    <w:rsid w:val="00B1010C"/>
    <w:rsid w:val="00B10703"/>
    <w:rsid w:val="00B10FB5"/>
    <w:rsid w:val="00B113C4"/>
    <w:rsid w:val="00B14A75"/>
    <w:rsid w:val="00B14F79"/>
    <w:rsid w:val="00B15CE0"/>
    <w:rsid w:val="00B2036F"/>
    <w:rsid w:val="00B206A7"/>
    <w:rsid w:val="00B212F6"/>
    <w:rsid w:val="00B216A9"/>
    <w:rsid w:val="00B21F12"/>
    <w:rsid w:val="00B22503"/>
    <w:rsid w:val="00B2263F"/>
    <w:rsid w:val="00B23931"/>
    <w:rsid w:val="00B30B60"/>
    <w:rsid w:val="00B314BD"/>
    <w:rsid w:val="00B31627"/>
    <w:rsid w:val="00B31C8D"/>
    <w:rsid w:val="00B333E2"/>
    <w:rsid w:val="00B33C15"/>
    <w:rsid w:val="00B34D53"/>
    <w:rsid w:val="00B359D7"/>
    <w:rsid w:val="00B35B89"/>
    <w:rsid w:val="00B36EB7"/>
    <w:rsid w:val="00B37A54"/>
    <w:rsid w:val="00B37B38"/>
    <w:rsid w:val="00B37BC9"/>
    <w:rsid w:val="00B408A9"/>
    <w:rsid w:val="00B4154B"/>
    <w:rsid w:val="00B41832"/>
    <w:rsid w:val="00B437F3"/>
    <w:rsid w:val="00B43912"/>
    <w:rsid w:val="00B44168"/>
    <w:rsid w:val="00B447C2"/>
    <w:rsid w:val="00B45AB8"/>
    <w:rsid w:val="00B461E2"/>
    <w:rsid w:val="00B479A5"/>
    <w:rsid w:val="00B50548"/>
    <w:rsid w:val="00B50837"/>
    <w:rsid w:val="00B50CEE"/>
    <w:rsid w:val="00B51DC2"/>
    <w:rsid w:val="00B5263E"/>
    <w:rsid w:val="00B52FFE"/>
    <w:rsid w:val="00B5375D"/>
    <w:rsid w:val="00B53CEF"/>
    <w:rsid w:val="00B5434C"/>
    <w:rsid w:val="00B55434"/>
    <w:rsid w:val="00B55871"/>
    <w:rsid w:val="00B56462"/>
    <w:rsid w:val="00B57773"/>
    <w:rsid w:val="00B60604"/>
    <w:rsid w:val="00B60A8E"/>
    <w:rsid w:val="00B60DCC"/>
    <w:rsid w:val="00B60F92"/>
    <w:rsid w:val="00B622BA"/>
    <w:rsid w:val="00B62778"/>
    <w:rsid w:val="00B641C2"/>
    <w:rsid w:val="00B6708B"/>
    <w:rsid w:val="00B67B9A"/>
    <w:rsid w:val="00B70FCD"/>
    <w:rsid w:val="00B71FF7"/>
    <w:rsid w:val="00B73AE1"/>
    <w:rsid w:val="00B73BCB"/>
    <w:rsid w:val="00B743B4"/>
    <w:rsid w:val="00B74951"/>
    <w:rsid w:val="00B74EE0"/>
    <w:rsid w:val="00B8077B"/>
    <w:rsid w:val="00B80AE0"/>
    <w:rsid w:val="00B8296C"/>
    <w:rsid w:val="00B82C0B"/>
    <w:rsid w:val="00B83A98"/>
    <w:rsid w:val="00B83D90"/>
    <w:rsid w:val="00B8420C"/>
    <w:rsid w:val="00B84A25"/>
    <w:rsid w:val="00B85B65"/>
    <w:rsid w:val="00B86072"/>
    <w:rsid w:val="00B864A4"/>
    <w:rsid w:val="00B86A41"/>
    <w:rsid w:val="00B86AD3"/>
    <w:rsid w:val="00B900DA"/>
    <w:rsid w:val="00B91054"/>
    <w:rsid w:val="00B92154"/>
    <w:rsid w:val="00B92168"/>
    <w:rsid w:val="00B927D7"/>
    <w:rsid w:val="00B92B14"/>
    <w:rsid w:val="00B92D22"/>
    <w:rsid w:val="00B92E47"/>
    <w:rsid w:val="00B92EFA"/>
    <w:rsid w:val="00B93E8A"/>
    <w:rsid w:val="00B9425B"/>
    <w:rsid w:val="00B9510C"/>
    <w:rsid w:val="00B95A85"/>
    <w:rsid w:val="00B95BC9"/>
    <w:rsid w:val="00B97A9C"/>
    <w:rsid w:val="00BA0242"/>
    <w:rsid w:val="00BA2EF2"/>
    <w:rsid w:val="00BA39DB"/>
    <w:rsid w:val="00BA3E6F"/>
    <w:rsid w:val="00BA3F59"/>
    <w:rsid w:val="00BA622D"/>
    <w:rsid w:val="00BB1797"/>
    <w:rsid w:val="00BB2A4E"/>
    <w:rsid w:val="00BB437D"/>
    <w:rsid w:val="00BB4389"/>
    <w:rsid w:val="00BB472C"/>
    <w:rsid w:val="00BB5EAC"/>
    <w:rsid w:val="00BB6E97"/>
    <w:rsid w:val="00BB7459"/>
    <w:rsid w:val="00BC1675"/>
    <w:rsid w:val="00BC42EC"/>
    <w:rsid w:val="00BC48E7"/>
    <w:rsid w:val="00BC4E5A"/>
    <w:rsid w:val="00BC57CD"/>
    <w:rsid w:val="00BC69FF"/>
    <w:rsid w:val="00BC7D02"/>
    <w:rsid w:val="00BD1B96"/>
    <w:rsid w:val="00BD2051"/>
    <w:rsid w:val="00BD2323"/>
    <w:rsid w:val="00BD44F7"/>
    <w:rsid w:val="00BD456A"/>
    <w:rsid w:val="00BD4CBA"/>
    <w:rsid w:val="00BD59A4"/>
    <w:rsid w:val="00BD5CB7"/>
    <w:rsid w:val="00BD5E5C"/>
    <w:rsid w:val="00BD5F45"/>
    <w:rsid w:val="00BD631C"/>
    <w:rsid w:val="00BD6DE5"/>
    <w:rsid w:val="00BE0F2E"/>
    <w:rsid w:val="00BE14CA"/>
    <w:rsid w:val="00BE2364"/>
    <w:rsid w:val="00BE505A"/>
    <w:rsid w:val="00BE60ED"/>
    <w:rsid w:val="00BE6362"/>
    <w:rsid w:val="00BE66E5"/>
    <w:rsid w:val="00BE6F93"/>
    <w:rsid w:val="00BE70E4"/>
    <w:rsid w:val="00BE7A2D"/>
    <w:rsid w:val="00BE7F1F"/>
    <w:rsid w:val="00BF00AE"/>
    <w:rsid w:val="00BF0578"/>
    <w:rsid w:val="00BF0ADA"/>
    <w:rsid w:val="00BF0D91"/>
    <w:rsid w:val="00BF1E4B"/>
    <w:rsid w:val="00BF4BEF"/>
    <w:rsid w:val="00BF4E0B"/>
    <w:rsid w:val="00BF4F57"/>
    <w:rsid w:val="00BF612E"/>
    <w:rsid w:val="00BF6399"/>
    <w:rsid w:val="00BF6648"/>
    <w:rsid w:val="00C00743"/>
    <w:rsid w:val="00C00839"/>
    <w:rsid w:val="00C016CF"/>
    <w:rsid w:val="00C01721"/>
    <w:rsid w:val="00C024A7"/>
    <w:rsid w:val="00C02522"/>
    <w:rsid w:val="00C02F85"/>
    <w:rsid w:val="00C036B0"/>
    <w:rsid w:val="00C03A73"/>
    <w:rsid w:val="00C03FF9"/>
    <w:rsid w:val="00C04F3C"/>
    <w:rsid w:val="00C05F5B"/>
    <w:rsid w:val="00C0676B"/>
    <w:rsid w:val="00C1002F"/>
    <w:rsid w:val="00C1063A"/>
    <w:rsid w:val="00C10C18"/>
    <w:rsid w:val="00C14F61"/>
    <w:rsid w:val="00C15095"/>
    <w:rsid w:val="00C15273"/>
    <w:rsid w:val="00C168A4"/>
    <w:rsid w:val="00C1694C"/>
    <w:rsid w:val="00C201D2"/>
    <w:rsid w:val="00C20A72"/>
    <w:rsid w:val="00C20C0B"/>
    <w:rsid w:val="00C2114B"/>
    <w:rsid w:val="00C2143D"/>
    <w:rsid w:val="00C26A58"/>
    <w:rsid w:val="00C26F49"/>
    <w:rsid w:val="00C27903"/>
    <w:rsid w:val="00C301D1"/>
    <w:rsid w:val="00C304D2"/>
    <w:rsid w:val="00C3071C"/>
    <w:rsid w:val="00C30C41"/>
    <w:rsid w:val="00C31778"/>
    <w:rsid w:val="00C326BC"/>
    <w:rsid w:val="00C328D9"/>
    <w:rsid w:val="00C32AAD"/>
    <w:rsid w:val="00C333F3"/>
    <w:rsid w:val="00C3390A"/>
    <w:rsid w:val="00C34B67"/>
    <w:rsid w:val="00C34BF9"/>
    <w:rsid w:val="00C35641"/>
    <w:rsid w:val="00C35ECB"/>
    <w:rsid w:val="00C36AC6"/>
    <w:rsid w:val="00C37485"/>
    <w:rsid w:val="00C37A81"/>
    <w:rsid w:val="00C37CF8"/>
    <w:rsid w:val="00C41F65"/>
    <w:rsid w:val="00C42156"/>
    <w:rsid w:val="00C44E6F"/>
    <w:rsid w:val="00C45051"/>
    <w:rsid w:val="00C46F6F"/>
    <w:rsid w:val="00C473D2"/>
    <w:rsid w:val="00C50887"/>
    <w:rsid w:val="00C50C7E"/>
    <w:rsid w:val="00C51A8E"/>
    <w:rsid w:val="00C52B7B"/>
    <w:rsid w:val="00C53232"/>
    <w:rsid w:val="00C53AF2"/>
    <w:rsid w:val="00C550F5"/>
    <w:rsid w:val="00C5745D"/>
    <w:rsid w:val="00C57FA0"/>
    <w:rsid w:val="00C60A78"/>
    <w:rsid w:val="00C61E95"/>
    <w:rsid w:val="00C63F48"/>
    <w:rsid w:val="00C64DBE"/>
    <w:rsid w:val="00C65ACC"/>
    <w:rsid w:val="00C66738"/>
    <w:rsid w:val="00C66771"/>
    <w:rsid w:val="00C66E57"/>
    <w:rsid w:val="00C671A8"/>
    <w:rsid w:val="00C674F3"/>
    <w:rsid w:val="00C678DA"/>
    <w:rsid w:val="00C67D26"/>
    <w:rsid w:val="00C67EFA"/>
    <w:rsid w:val="00C71759"/>
    <w:rsid w:val="00C724E7"/>
    <w:rsid w:val="00C725DA"/>
    <w:rsid w:val="00C72750"/>
    <w:rsid w:val="00C75BC2"/>
    <w:rsid w:val="00C7653A"/>
    <w:rsid w:val="00C7684B"/>
    <w:rsid w:val="00C76B50"/>
    <w:rsid w:val="00C76C09"/>
    <w:rsid w:val="00C8210C"/>
    <w:rsid w:val="00C824DF"/>
    <w:rsid w:val="00C8254A"/>
    <w:rsid w:val="00C82E09"/>
    <w:rsid w:val="00C843A1"/>
    <w:rsid w:val="00C845F7"/>
    <w:rsid w:val="00C84B8B"/>
    <w:rsid w:val="00C84DD3"/>
    <w:rsid w:val="00C8531F"/>
    <w:rsid w:val="00C85CEE"/>
    <w:rsid w:val="00C85DFA"/>
    <w:rsid w:val="00C87C3C"/>
    <w:rsid w:val="00C904A1"/>
    <w:rsid w:val="00C913CA"/>
    <w:rsid w:val="00C91487"/>
    <w:rsid w:val="00C92183"/>
    <w:rsid w:val="00C926F0"/>
    <w:rsid w:val="00C92B3B"/>
    <w:rsid w:val="00C938B3"/>
    <w:rsid w:val="00C95C98"/>
    <w:rsid w:val="00C968B2"/>
    <w:rsid w:val="00C97424"/>
    <w:rsid w:val="00C978D3"/>
    <w:rsid w:val="00CA03BE"/>
    <w:rsid w:val="00CA1094"/>
    <w:rsid w:val="00CA2999"/>
    <w:rsid w:val="00CA29F1"/>
    <w:rsid w:val="00CA3039"/>
    <w:rsid w:val="00CA3E8F"/>
    <w:rsid w:val="00CA4043"/>
    <w:rsid w:val="00CA4ABC"/>
    <w:rsid w:val="00CA4BEF"/>
    <w:rsid w:val="00CA5706"/>
    <w:rsid w:val="00CA5783"/>
    <w:rsid w:val="00CA5932"/>
    <w:rsid w:val="00CA5F4F"/>
    <w:rsid w:val="00CA5F78"/>
    <w:rsid w:val="00CA634E"/>
    <w:rsid w:val="00CA6EAC"/>
    <w:rsid w:val="00CA73BA"/>
    <w:rsid w:val="00CB0CCA"/>
    <w:rsid w:val="00CB1799"/>
    <w:rsid w:val="00CB1CFA"/>
    <w:rsid w:val="00CB2AC1"/>
    <w:rsid w:val="00CB427E"/>
    <w:rsid w:val="00CC05FB"/>
    <w:rsid w:val="00CC243C"/>
    <w:rsid w:val="00CC2C29"/>
    <w:rsid w:val="00CC336E"/>
    <w:rsid w:val="00CC4042"/>
    <w:rsid w:val="00CC418D"/>
    <w:rsid w:val="00CC4344"/>
    <w:rsid w:val="00CC5F0E"/>
    <w:rsid w:val="00CC78E8"/>
    <w:rsid w:val="00CD19B5"/>
    <w:rsid w:val="00CD2902"/>
    <w:rsid w:val="00CD2991"/>
    <w:rsid w:val="00CD4D14"/>
    <w:rsid w:val="00CE1EA3"/>
    <w:rsid w:val="00CE25B1"/>
    <w:rsid w:val="00CE2CA8"/>
    <w:rsid w:val="00CE33A3"/>
    <w:rsid w:val="00CE370E"/>
    <w:rsid w:val="00CE5064"/>
    <w:rsid w:val="00CE57C9"/>
    <w:rsid w:val="00CE5FD1"/>
    <w:rsid w:val="00CE7EDC"/>
    <w:rsid w:val="00CF01BE"/>
    <w:rsid w:val="00CF06E3"/>
    <w:rsid w:val="00CF0A34"/>
    <w:rsid w:val="00CF0BD4"/>
    <w:rsid w:val="00CF14C6"/>
    <w:rsid w:val="00CF1FE7"/>
    <w:rsid w:val="00CF3712"/>
    <w:rsid w:val="00CF5CF1"/>
    <w:rsid w:val="00CF6325"/>
    <w:rsid w:val="00CF6DFB"/>
    <w:rsid w:val="00CF73FA"/>
    <w:rsid w:val="00CF7F22"/>
    <w:rsid w:val="00D025AD"/>
    <w:rsid w:val="00D0631F"/>
    <w:rsid w:val="00D07954"/>
    <w:rsid w:val="00D07B67"/>
    <w:rsid w:val="00D111FE"/>
    <w:rsid w:val="00D1197F"/>
    <w:rsid w:val="00D11CB0"/>
    <w:rsid w:val="00D13630"/>
    <w:rsid w:val="00D15DBB"/>
    <w:rsid w:val="00D15E69"/>
    <w:rsid w:val="00D16EBA"/>
    <w:rsid w:val="00D170FE"/>
    <w:rsid w:val="00D17182"/>
    <w:rsid w:val="00D17377"/>
    <w:rsid w:val="00D1787C"/>
    <w:rsid w:val="00D20776"/>
    <w:rsid w:val="00D22DC5"/>
    <w:rsid w:val="00D23098"/>
    <w:rsid w:val="00D2392B"/>
    <w:rsid w:val="00D23FEA"/>
    <w:rsid w:val="00D24655"/>
    <w:rsid w:val="00D2480B"/>
    <w:rsid w:val="00D25258"/>
    <w:rsid w:val="00D3221D"/>
    <w:rsid w:val="00D32B90"/>
    <w:rsid w:val="00D32CBC"/>
    <w:rsid w:val="00D33387"/>
    <w:rsid w:val="00D34F8C"/>
    <w:rsid w:val="00D359CC"/>
    <w:rsid w:val="00D36813"/>
    <w:rsid w:val="00D36BE9"/>
    <w:rsid w:val="00D373DC"/>
    <w:rsid w:val="00D37E4B"/>
    <w:rsid w:val="00D41ACB"/>
    <w:rsid w:val="00D4281C"/>
    <w:rsid w:val="00D435A8"/>
    <w:rsid w:val="00D43B12"/>
    <w:rsid w:val="00D44B89"/>
    <w:rsid w:val="00D4541D"/>
    <w:rsid w:val="00D465BC"/>
    <w:rsid w:val="00D5042E"/>
    <w:rsid w:val="00D508D3"/>
    <w:rsid w:val="00D512D8"/>
    <w:rsid w:val="00D517F2"/>
    <w:rsid w:val="00D5225F"/>
    <w:rsid w:val="00D52790"/>
    <w:rsid w:val="00D542C4"/>
    <w:rsid w:val="00D60AD0"/>
    <w:rsid w:val="00D61296"/>
    <w:rsid w:val="00D612A0"/>
    <w:rsid w:val="00D613D9"/>
    <w:rsid w:val="00D61DE6"/>
    <w:rsid w:val="00D62604"/>
    <w:rsid w:val="00D633C4"/>
    <w:rsid w:val="00D63A7F"/>
    <w:rsid w:val="00D649B3"/>
    <w:rsid w:val="00D65B2A"/>
    <w:rsid w:val="00D65B5F"/>
    <w:rsid w:val="00D710BC"/>
    <w:rsid w:val="00D72126"/>
    <w:rsid w:val="00D731F2"/>
    <w:rsid w:val="00D75121"/>
    <w:rsid w:val="00D76006"/>
    <w:rsid w:val="00D760C2"/>
    <w:rsid w:val="00D7610B"/>
    <w:rsid w:val="00D768F4"/>
    <w:rsid w:val="00D77383"/>
    <w:rsid w:val="00D805E9"/>
    <w:rsid w:val="00D82E5A"/>
    <w:rsid w:val="00D83E93"/>
    <w:rsid w:val="00D85833"/>
    <w:rsid w:val="00D85C34"/>
    <w:rsid w:val="00D8633D"/>
    <w:rsid w:val="00D876B0"/>
    <w:rsid w:val="00D8790F"/>
    <w:rsid w:val="00D87F8B"/>
    <w:rsid w:val="00D904B9"/>
    <w:rsid w:val="00D912E2"/>
    <w:rsid w:val="00D91B13"/>
    <w:rsid w:val="00D91F35"/>
    <w:rsid w:val="00D920FB"/>
    <w:rsid w:val="00D92A2D"/>
    <w:rsid w:val="00D9365E"/>
    <w:rsid w:val="00D9502C"/>
    <w:rsid w:val="00D95877"/>
    <w:rsid w:val="00D960A3"/>
    <w:rsid w:val="00D96B10"/>
    <w:rsid w:val="00D96F61"/>
    <w:rsid w:val="00D976BD"/>
    <w:rsid w:val="00D97BB0"/>
    <w:rsid w:val="00DA4264"/>
    <w:rsid w:val="00DA4A73"/>
    <w:rsid w:val="00DA6CE6"/>
    <w:rsid w:val="00DB05E8"/>
    <w:rsid w:val="00DB0C95"/>
    <w:rsid w:val="00DB0D13"/>
    <w:rsid w:val="00DB0E95"/>
    <w:rsid w:val="00DB2D2C"/>
    <w:rsid w:val="00DB2FA1"/>
    <w:rsid w:val="00DB4651"/>
    <w:rsid w:val="00DB503C"/>
    <w:rsid w:val="00DB5350"/>
    <w:rsid w:val="00DB5B29"/>
    <w:rsid w:val="00DB5C79"/>
    <w:rsid w:val="00DB5E97"/>
    <w:rsid w:val="00DB7FF8"/>
    <w:rsid w:val="00DC0212"/>
    <w:rsid w:val="00DC02B1"/>
    <w:rsid w:val="00DC1868"/>
    <w:rsid w:val="00DC3D99"/>
    <w:rsid w:val="00DC4823"/>
    <w:rsid w:val="00DC6500"/>
    <w:rsid w:val="00DD02BF"/>
    <w:rsid w:val="00DD253C"/>
    <w:rsid w:val="00DD25C3"/>
    <w:rsid w:val="00DD2A0C"/>
    <w:rsid w:val="00DD60E9"/>
    <w:rsid w:val="00DD7704"/>
    <w:rsid w:val="00DE0538"/>
    <w:rsid w:val="00DE0B75"/>
    <w:rsid w:val="00DE0C85"/>
    <w:rsid w:val="00DE13F1"/>
    <w:rsid w:val="00DE2021"/>
    <w:rsid w:val="00DE26DE"/>
    <w:rsid w:val="00DE3081"/>
    <w:rsid w:val="00DE4C91"/>
    <w:rsid w:val="00DE5383"/>
    <w:rsid w:val="00DE53FD"/>
    <w:rsid w:val="00DE6679"/>
    <w:rsid w:val="00DE6CBC"/>
    <w:rsid w:val="00DE71A9"/>
    <w:rsid w:val="00DF04BC"/>
    <w:rsid w:val="00DF0C46"/>
    <w:rsid w:val="00DF1039"/>
    <w:rsid w:val="00DF2498"/>
    <w:rsid w:val="00DF3E40"/>
    <w:rsid w:val="00DF451A"/>
    <w:rsid w:val="00DF5CAA"/>
    <w:rsid w:val="00DF5DD5"/>
    <w:rsid w:val="00DF667C"/>
    <w:rsid w:val="00DF7AD5"/>
    <w:rsid w:val="00DF7D31"/>
    <w:rsid w:val="00DF7FDC"/>
    <w:rsid w:val="00E00938"/>
    <w:rsid w:val="00E038D9"/>
    <w:rsid w:val="00E0432D"/>
    <w:rsid w:val="00E04B04"/>
    <w:rsid w:val="00E07E35"/>
    <w:rsid w:val="00E102C5"/>
    <w:rsid w:val="00E10CF6"/>
    <w:rsid w:val="00E10D99"/>
    <w:rsid w:val="00E1176A"/>
    <w:rsid w:val="00E1210D"/>
    <w:rsid w:val="00E128EB"/>
    <w:rsid w:val="00E13B3A"/>
    <w:rsid w:val="00E142AC"/>
    <w:rsid w:val="00E148B1"/>
    <w:rsid w:val="00E153DD"/>
    <w:rsid w:val="00E16A9C"/>
    <w:rsid w:val="00E21861"/>
    <w:rsid w:val="00E233FE"/>
    <w:rsid w:val="00E2510E"/>
    <w:rsid w:val="00E255FD"/>
    <w:rsid w:val="00E25FD5"/>
    <w:rsid w:val="00E26957"/>
    <w:rsid w:val="00E26BD0"/>
    <w:rsid w:val="00E310DE"/>
    <w:rsid w:val="00E361C7"/>
    <w:rsid w:val="00E37868"/>
    <w:rsid w:val="00E41691"/>
    <w:rsid w:val="00E42222"/>
    <w:rsid w:val="00E4422F"/>
    <w:rsid w:val="00E447E8"/>
    <w:rsid w:val="00E44C5B"/>
    <w:rsid w:val="00E457CE"/>
    <w:rsid w:val="00E46890"/>
    <w:rsid w:val="00E47253"/>
    <w:rsid w:val="00E47837"/>
    <w:rsid w:val="00E510D6"/>
    <w:rsid w:val="00E5322E"/>
    <w:rsid w:val="00E537F6"/>
    <w:rsid w:val="00E5523B"/>
    <w:rsid w:val="00E559DE"/>
    <w:rsid w:val="00E55B87"/>
    <w:rsid w:val="00E569DD"/>
    <w:rsid w:val="00E57168"/>
    <w:rsid w:val="00E60146"/>
    <w:rsid w:val="00E61827"/>
    <w:rsid w:val="00E62978"/>
    <w:rsid w:val="00E62C5C"/>
    <w:rsid w:val="00E62CA9"/>
    <w:rsid w:val="00E643C6"/>
    <w:rsid w:val="00E64D9A"/>
    <w:rsid w:val="00E65719"/>
    <w:rsid w:val="00E662D6"/>
    <w:rsid w:val="00E67258"/>
    <w:rsid w:val="00E7111E"/>
    <w:rsid w:val="00E71672"/>
    <w:rsid w:val="00E71C68"/>
    <w:rsid w:val="00E72B07"/>
    <w:rsid w:val="00E72B9D"/>
    <w:rsid w:val="00E7318E"/>
    <w:rsid w:val="00E757DF"/>
    <w:rsid w:val="00E75B95"/>
    <w:rsid w:val="00E77027"/>
    <w:rsid w:val="00E779C4"/>
    <w:rsid w:val="00E77E23"/>
    <w:rsid w:val="00E80EDC"/>
    <w:rsid w:val="00E812E2"/>
    <w:rsid w:val="00E82DD0"/>
    <w:rsid w:val="00E82F37"/>
    <w:rsid w:val="00E83CB8"/>
    <w:rsid w:val="00E8435A"/>
    <w:rsid w:val="00E84D8D"/>
    <w:rsid w:val="00E84EA2"/>
    <w:rsid w:val="00E86AD1"/>
    <w:rsid w:val="00E92EB7"/>
    <w:rsid w:val="00E943E4"/>
    <w:rsid w:val="00E9553B"/>
    <w:rsid w:val="00E966D4"/>
    <w:rsid w:val="00EA25DE"/>
    <w:rsid w:val="00EA3364"/>
    <w:rsid w:val="00EA3EB9"/>
    <w:rsid w:val="00EA4855"/>
    <w:rsid w:val="00EA4F80"/>
    <w:rsid w:val="00EA63ED"/>
    <w:rsid w:val="00EA72B0"/>
    <w:rsid w:val="00EA7B06"/>
    <w:rsid w:val="00EB10BD"/>
    <w:rsid w:val="00EB197B"/>
    <w:rsid w:val="00EB219D"/>
    <w:rsid w:val="00EB2EA3"/>
    <w:rsid w:val="00EB3131"/>
    <w:rsid w:val="00EB4592"/>
    <w:rsid w:val="00EB4A15"/>
    <w:rsid w:val="00EB563E"/>
    <w:rsid w:val="00EB63F5"/>
    <w:rsid w:val="00EB79EA"/>
    <w:rsid w:val="00EC1EE7"/>
    <w:rsid w:val="00EC29DF"/>
    <w:rsid w:val="00EC2BD6"/>
    <w:rsid w:val="00EC52BE"/>
    <w:rsid w:val="00EC5F1A"/>
    <w:rsid w:val="00ED137D"/>
    <w:rsid w:val="00ED2B13"/>
    <w:rsid w:val="00ED2C5F"/>
    <w:rsid w:val="00ED32AB"/>
    <w:rsid w:val="00ED35D1"/>
    <w:rsid w:val="00ED5150"/>
    <w:rsid w:val="00ED591E"/>
    <w:rsid w:val="00ED7F83"/>
    <w:rsid w:val="00EE2D71"/>
    <w:rsid w:val="00EE4910"/>
    <w:rsid w:val="00EE5ED2"/>
    <w:rsid w:val="00EE6D2D"/>
    <w:rsid w:val="00EE7402"/>
    <w:rsid w:val="00EF0225"/>
    <w:rsid w:val="00EF04E7"/>
    <w:rsid w:val="00EF0A3B"/>
    <w:rsid w:val="00EF17EE"/>
    <w:rsid w:val="00EF246A"/>
    <w:rsid w:val="00EF3F66"/>
    <w:rsid w:val="00EF5D04"/>
    <w:rsid w:val="00EF7ABA"/>
    <w:rsid w:val="00F0081F"/>
    <w:rsid w:val="00F00A59"/>
    <w:rsid w:val="00F01243"/>
    <w:rsid w:val="00F05376"/>
    <w:rsid w:val="00F11E9A"/>
    <w:rsid w:val="00F12039"/>
    <w:rsid w:val="00F14069"/>
    <w:rsid w:val="00F1427F"/>
    <w:rsid w:val="00F14453"/>
    <w:rsid w:val="00F1611D"/>
    <w:rsid w:val="00F16358"/>
    <w:rsid w:val="00F214B5"/>
    <w:rsid w:val="00F217F3"/>
    <w:rsid w:val="00F22B37"/>
    <w:rsid w:val="00F2326B"/>
    <w:rsid w:val="00F23A37"/>
    <w:rsid w:val="00F23F88"/>
    <w:rsid w:val="00F26768"/>
    <w:rsid w:val="00F30396"/>
    <w:rsid w:val="00F31348"/>
    <w:rsid w:val="00F343F5"/>
    <w:rsid w:val="00F363C7"/>
    <w:rsid w:val="00F3696C"/>
    <w:rsid w:val="00F3704D"/>
    <w:rsid w:val="00F3728E"/>
    <w:rsid w:val="00F373E5"/>
    <w:rsid w:val="00F40CE3"/>
    <w:rsid w:val="00F40DD8"/>
    <w:rsid w:val="00F41F43"/>
    <w:rsid w:val="00F44076"/>
    <w:rsid w:val="00F457C0"/>
    <w:rsid w:val="00F45F49"/>
    <w:rsid w:val="00F463FD"/>
    <w:rsid w:val="00F476B2"/>
    <w:rsid w:val="00F51DBD"/>
    <w:rsid w:val="00F52481"/>
    <w:rsid w:val="00F529A3"/>
    <w:rsid w:val="00F534B9"/>
    <w:rsid w:val="00F5397B"/>
    <w:rsid w:val="00F546A7"/>
    <w:rsid w:val="00F55E14"/>
    <w:rsid w:val="00F573C2"/>
    <w:rsid w:val="00F5752F"/>
    <w:rsid w:val="00F576AC"/>
    <w:rsid w:val="00F5774C"/>
    <w:rsid w:val="00F604B1"/>
    <w:rsid w:val="00F6057A"/>
    <w:rsid w:val="00F609C2"/>
    <w:rsid w:val="00F60F83"/>
    <w:rsid w:val="00F61B52"/>
    <w:rsid w:val="00F61BF4"/>
    <w:rsid w:val="00F637C0"/>
    <w:rsid w:val="00F63F9E"/>
    <w:rsid w:val="00F6469A"/>
    <w:rsid w:val="00F64989"/>
    <w:rsid w:val="00F64D85"/>
    <w:rsid w:val="00F6655B"/>
    <w:rsid w:val="00F675FB"/>
    <w:rsid w:val="00F67B6C"/>
    <w:rsid w:val="00F70975"/>
    <w:rsid w:val="00F70CAE"/>
    <w:rsid w:val="00F70D4C"/>
    <w:rsid w:val="00F733C4"/>
    <w:rsid w:val="00F73CF5"/>
    <w:rsid w:val="00F74273"/>
    <w:rsid w:val="00F743A7"/>
    <w:rsid w:val="00F8436A"/>
    <w:rsid w:val="00F86A78"/>
    <w:rsid w:val="00F87ACF"/>
    <w:rsid w:val="00F87B0C"/>
    <w:rsid w:val="00F910DD"/>
    <w:rsid w:val="00F93E1A"/>
    <w:rsid w:val="00F94943"/>
    <w:rsid w:val="00F94D41"/>
    <w:rsid w:val="00F95269"/>
    <w:rsid w:val="00F9582A"/>
    <w:rsid w:val="00F95AC5"/>
    <w:rsid w:val="00F95E4C"/>
    <w:rsid w:val="00F9640C"/>
    <w:rsid w:val="00F969F8"/>
    <w:rsid w:val="00F972C9"/>
    <w:rsid w:val="00F97AB3"/>
    <w:rsid w:val="00F97EFE"/>
    <w:rsid w:val="00FA112C"/>
    <w:rsid w:val="00FA1890"/>
    <w:rsid w:val="00FA1E60"/>
    <w:rsid w:val="00FA20A5"/>
    <w:rsid w:val="00FA2EF7"/>
    <w:rsid w:val="00FA34BC"/>
    <w:rsid w:val="00FA4ED6"/>
    <w:rsid w:val="00FB0AFC"/>
    <w:rsid w:val="00FB0B1D"/>
    <w:rsid w:val="00FB1F93"/>
    <w:rsid w:val="00FB35AA"/>
    <w:rsid w:val="00FB409B"/>
    <w:rsid w:val="00FB4BE6"/>
    <w:rsid w:val="00FB69E7"/>
    <w:rsid w:val="00FB713C"/>
    <w:rsid w:val="00FB7189"/>
    <w:rsid w:val="00FB7522"/>
    <w:rsid w:val="00FC19C1"/>
    <w:rsid w:val="00FC1F7E"/>
    <w:rsid w:val="00FC2189"/>
    <w:rsid w:val="00FC2266"/>
    <w:rsid w:val="00FC256C"/>
    <w:rsid w:val="00FC5784"/>
    <w:rsid w:val="00FC5E28"/>
    <w:rsid w:val="00FC7171"/>
    <w:rsid w:val="00FD0791"/>
    <w:rsid w:val="00FD10C3"/>
    <w:rsid w:val="00FD1EE2"/>
    <w:rsid w:val="00FD2A77"/>
    <w:rsid w:val="00FD2E3B"/>
    <w:rsid w:val="00FD49D2"/>
    <w:rsid w:val="00FD60B4"/>
    <w:rsid w:val="00FD63BF"/>
    <w:rsid w:val="00FD69F8"/>
    <w:rsid w:val="00FE0C47"/>
    <w:rsid w:val="00FE1E7D"/>
    <w:rsid w:val="00FE1F9C"/>
    <w:rsid w:val="00FE2067"/>
    <w:rsid w:val="00FE3894"/>
    <w:rsid w:val="00FE3E7A"/>
    <w:rsid w:val="00FE68AA"/>
    <w:rsid w:val="00FE7DC1"/>
    <w:rsid w:val="00FF0046"/>
    <w:rsid w:val="00FF1F38"/>
    <w:rsid w:val="00FF2AF1"/>
    <w:rsid w:val="00FF345E"/>
    <w:rsid w:val="00FF357D"/>
    <w:rsid w:val="00FF4779"/>
    <w:rsid w:val="00FF50A2"/>
    <w:rsid w:val="00FF5CE4"/>
    <w:rsid w:val="00FF5DB8"/>
    <w:rsid w:val="00FF7073"/>
    <w:rsid w:val="00FF7D92"/>
    <w:rsid w:val="05251FBE"/>
    <w:rsid w:val="0AE62808"/>
    <w:rsid w:val="121325D3"/>
    <w:rsid w:val="1D946B6A"/>
    <w:rsid w:val="1E2D583E"/>
    <w:rsid w:val="252C1E94"/>
    <w:rsid w:val="28F20E01"/>
    <w:rsid w:val="317D3175"/>
    <w:rsid w:val="3830007A"/>
    <w:rsid w:val="397F353D"/>
    <w:rsid w:val="3A195EFF"/>
    <w:rsid w:val="3AE21E18"/>
    <w:rsid w:val="3D9116A7"/>
    <w:rsid w:val="3F3C3679"/>
    <w:rsid w:val="498B7437"/>
    <w:rsid w:val="4CED0A27"/>
    <w:rsid w:val="57AE0321"/>
    <w:rsid w:val="586F18B3"/>
    <w:rsid w:val="5E465106"/>
    <w:rsid w:val="5EC736A4"/>
    <w:rsid w:val="60CF6BAF"/>
    <w:rsid w:val="67053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51"/>
    <w:qFormat/>
    <w:uiPriority w:val="0"/>
    <w:pPr>
      <w:keepNext/>
      <w:keepLines/>
      <w:adjustRightInd w:val="0"/>
      <w:spacing w:before="340" w:after="330" w:line="578" w:lineRule="atLeast"/>
      <w:ind w:firstLine="425"/>
      <w:textAlignment w:val="baseline"/>
      <w:outlineLvl w:val="0"/>
    </w:pPr>
    <w:rPr>
      <w:rFonts w:eastAsia="黑体"/>
      <w:b/>
      <w:kern w:val="44"/>
      <w:sz w:val="36"/>
    </w:rPr>
  </w:style>
  <w:style w:type="paragraph" w:styleId="3">
    <w:name w:val="heading 2"/>
    <w:basedOn w:val="1"/>
    <w:next w:val="1"/>
    <w:link w:val="58"/>
    <w:qFormat/>
    <w:uiPriority w:val="0"/>
    <w:pPr>
      <w:keepNext/>
      <w:keepLines/>
      <w:adjustRightInd w:val="0"/>
      <w:spacing w:before="260" w:after="260" w:line="416" w:lineRule="atLeast"/>
      <w:ind w:firstLine="425"/>
      <w:textAlignment w:val="baseline"/>
      <w:outlineLvl w:val="1"/>
    </w:pPr>
    <w:rPr>
      <w:rFonts w:ascii="Arial" w:hAnsi="Arial" w:eastAsia="黑体"/>
      <w:b/>
      <w:kern w:val="0"/>
      <w:sz w:val="32"/>
    </w:rPr>
  </w:style>
  <w:style w:type="paragraph" w:styleId="4">
    <w:name w:val="heading 3"/>
    <w:basedOn w:val="1"/>
    <w:next w:val="5"/>
    <w:qFormat/>
    <w:uiPriority w:val="0"/>
    <w:pPr>
      <w:keepNext/>
      <w:keepLines/>
      <w:spacing w:before="260" w:after="260" w:line="416" w:lineRule="auto"/>
      <w:outlineLvl w:val="2"/>
    </w:pPr>
    <w:rPr>
      <w:b/>
      <w:sz w:val="32"/>
    </w:rPr>
  </w:style>
  <w:style w:type="paragraph" w:styleId="6">
    <w:name w:val="heading 4"/>
    <w:basedOn w:val="1"/>
    <w:next w:val="5"/>
    <w:qFormat/>
    <w:uiPriority w:val="0"/>
    <w:pPr>
      <w:keepNext/>
      <w:keepLines/>
      <w:adjustRightInd w:val="0"/>
      <w:spacing w:before="280" w:after="290" w:line="376" w:lineRule="atLeast"/>
      <w:ind w:firstLine="425"/>
      <w:textAlignment w:val="baseline"/>
      <w:outlineLvl w:val="3"/>
    </w:pPr>
    <w:rPr>
      <w:rFonts w:ascii="Arial" w:hAnsi="Arial" w:eastAsia="黑体"/>
      <w:kern w:val="0"/>
      <w:sz w:val="28"/>
    </w:rPr>
  </w:style>
  <w:style w:type="paragraph" w:styleId="7">
    <w:name w:val="heading 7"/>
    <w:basedOn w:val="1"/>
    <w:next w:val="1"/>
    <w:link w:val="68"/>
    <w:semiHidden/>
    <w:unhideWhenUsed/>
    <w:qFormat/>
    <w:uiPriority w:val="0"/>
    <w:pPr>
      <w:keepNext/>
      <w:keepLines/>
      <w:spacing w:before="240" w:after="64" w:line="320" w:lineRule="auto"/>
      <w:outlineLvl w:val="6"/>
    </w:pPr>
    <w:rPr>
      <w:b/>
      <w:bCs/>
      <w:szCs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6"/>
    <w:qFormat/>
    <w:uiPriority w:val="0"/>
    <w:pPr>
      <w:adjustRightInd w:val="0"/>
      <w:spacing w:before="60" w:after="60" w:line="312" w:lineRule="atLeast"/>
      <w:ind w:firstLine="420"/>
      <w:textAlignment w:val="baseline"/>
    </w:pPr>
    <w:rPr>
      <w:kern w:val="0"/>
    </w:rPr>
  </w:style>
  <w:style w:type="paragraph" w:styleId="8">
    <w:name w:val="toc 7"/>
    <w:basedOn w:val="1"/>
    <w:next w:val="1"/>
    <w:semiHidden/>
    <w:qFormat/>
    <w:uiPriority w:val="0"/>
    <w:pPr>
      <w:ind w:left="1440"/>
      <w:jc w:val="left"/>
    </w:pPr>
    <w:rPr>
      <w:rFonts w:asciiTheme="minorHAnsi" w:hAnsiTheme="minorHAnsi" w:cstheme="minorHAnsi"/>
      <w:sz w:val="18"/>
      <w:szCs w:val="18"/>
    </w:rPr>
  </w:style>
  <w:style w:type="paragraph" w:styleId="9">
    <w:name w:val="Document Map"/>
    <w:basedOn w:val="1"/>
    <w:semiHidden/>
    <w:qFormat/>
    <w:uiPriority w:val="0"/>
    <w:pPr>
      <w:shd w:val="clear" w:color="auto" w:fill="000080"/>
    </w:pPr>
  </w:style>
  <w:style w:type="paragraph" w:styleId="10">
    <w:name w:val="annotation text"/>
    <w:basedOn w:val="1"/>
    <w:link w:val="53"/>
    <w:qFormat/>
    <w:uiPriority w:val="0"/>
    <w:pPr>
      <w:jc w:val="left"/>
    </w:pPr>
  </w:style>
  <w:style w:type="paragraph" w:styleId="11">
    <w:name w:val="Body Text"/>
    <w:basedOn w:val="1"/>
    <w:qFormat/>
    <w:uiPriority w:val="0"/>
    <w:pPr>
      <w:spacing w:after="120"/>
    </w:pPr>
  </w:style>
  <w:style w:type="paragraph" w:styleId="12">
    <w:name w:val="Body Text Indent"/>
    <w:basedOn w:val="1"/>
    <w:qFormat/>
    <w:uiPriority w:val="0"/>
    <w:pPr>
      <w:ind w:firstLine="430"/>
    </w:pPr>
    <w:rPr>
      <w:rFonts w:ascii="黑体" w:eastAsia="黑体"/>
    </w:rPr>
  </w:style>
  <w:style w:type="paragraph" w:styleId="13">
    <w:name w:val="toc 5"/>
    <w:basedOn w:val="1"/>
    <w:next w:val="1"/>
    <w:semiHidden/>
    <w:qFormat/>
    <w:uiPriority w:val="0"/>
    <w:pPr>
      <w:ind w:left="960"/>
      <w:jc w:val="left"/>
    </w:pPr>
    <w:rPr>
      <w:rFonts w:asciiTheme="minorHAnsi" w:hAnsiTheme="minorHAnsi" w:cstheme="minorHAnsi"/>
      <w:sz w:val="18"/>
      <w:szCs w:val="18"/>
    </w:rPr>
  </w:style>
  <w:style w:type="paragraph" w:styleId="14">
    <w:name w:val="toc 3"/>
    <w:basedOn w:val="1"/>
    <w:next w:val="1"/>
    <w:qFormat/>
    <w:uiPriority w:val="39"/>
    <w:pPr>
      <w:spacing w:line="500" w:lineRule="exact"/>
      <w:ind w:left="200" w:leftChars="200"/>
    </w:pPr>
    <w:rPr>
      <w:rFonts w:asciiTheme="minorHAnsi" w:hAnsiTheme="minorHAnsi" w:cstheme="minorHAnsi"/>
      <w:iCs/>
    </w:rPr>
  </w:style>
  <w:style w:type="paragraph" w:styleId="15">
    <w:name w:val="Plain Text"/>
    <w:basedOn w:val="1"/>
    <w:link w:val="61"/>
    <w:qFormat/>
    <w:uiPriority w:val="0"/>
    <w:rPr>
      <w:rFonts w:ascii="宋体" w:hAnsi="Courier New"/>
    </w:rPr>
  </w:style>
  <w:style w:type="paragraph" w:styleId="16">
    <w:name w:val="toc 8"/>
    <w:basedOn w:val="1"/>
    <w:next w:val="1"/>
    <w:semiHidden/>
    <w:qFormat/>
    <w:uiPriority w:val="0"/>
    <w:pPr>
      <w:ind w:left="1680"/>
      <w:jc w:val="left"/>
    </w:pPr>
    <w:rPr>
      <w:rFonts w:asciiTheme="minorHAnsi" w:hAnsiTheme="minorHAnsi" w:cstheme="minorHAnsi"/>
      <w:sz w:val="18"/>
      <w:szCs w:val="18"/>
    </w:rPr>
  </w:style>
  <w:style w:type="paragraph" w:styleId="17">
    <w:name w:val="Date"/>
    <w:basedOn w:val="1"/>
    <w:next w:val="1"/>
    <w:qFormat/>
    <w:uiPriority w:val="0"/>
    <w:pPr>
      <w:adjustRightInd w:val="0"/>
      <w:spacing w:before="60" w:after="60" w:line="312" w:lineRule="atLeast"/>
      <w:ind w:firstLine="425"/>
      <w:textAlignment w:val="baseline"/>
    </w:pPr>
    <w:rPr>
      <w:rFonts w:ascii="Arial Narrow" w:hAnsi="Arial Narrow"/>
      <w:kern w:val="0"/>
    </w:rPr>
  </w:style>
  <w:style w:type="paragraph" w:styleId="18">
    <w:name w:val="Body Text Indent 2"/>
    <w:basedOn w:val="1"/>
    <w:qFormat/>
    <w:uiPriority w:val="0"/>
    <w:pPr>
      <w:spacing w:line="360" w:lineRule="auto"/>
      <w:ind w:firstLine="480"/>
    </w:pPr>
    <w:rPr>
      <w:rFonts w:ascii="宋体"/>
    </w:rPr>
  </w:style>
  <w:style w:type="paragraph" w:styleId="19">
    <w:name w:val="Balloon Text"/>
    <w:basedOn w:val="1"/>
    <w:semiHidden/>
    <w:qFormat/>
    <w:uiPriority w:val="0"/>
    <w:rPr>
      <w:sz w:val="18"/>
      <w:szCs w:val="18"/>
    </w:rPr>
  </w:style>
  <w:style w:type="paragraph" w:styleId="20">
    <w:name w:val="footer"/>
    <w:basedOn w:val="1"/>
    <w:link w:val="62"/>
    <w:qFormat/>
    <w:uiPriority w:val="0"/>
    <w:pPr>
      <w:tabs>
        <w:tab w:val="center" w:pos="4153"/>
        <w:tab w:val="right" w:pos="8306"/>
      </w:tabs>
      <w:snapToGrid w:val="0"/>
      <w:jc w:val="left"/>
    </w:pPr>
    <w:rPr>
      <w:sz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120" w:after="120" w:line="360" w:lineRule="auto"/>
    </w:pPr>
    <w:rPr>
      <w:rFonts w:ascii="宋体" w:hAnsi="宋体" w:cstheme="minorHAnsi"/>
      <w:bCs/>
      <w:caps/>
    </w:rPr>
  </w:style>
  <w:style w:type="paragraph" w:styleId="23">
    <w:name w:val="toc 4"/>
    <w:basedOn w:val="1"/>
    <w:next w:val="1"/>
    <w:semiHidden/>
    <w:qFormat/>
    <w:uiPriority w:val="0"/>
    <w:pPr>
      <w:ind w:left="720"/>
      <w:jc w:val="left"/>
    </w:pPr>
    <w:rPr>
      <w:rFonts w:asciiTheme="minorHAnsi" w:hAnsiTheme="minorHAnsi" w:cstheme="minorHAnsi"/>
      <w:sz w:val="18"/>
      <w:szCs w:val="18"/>
    </w:rPr>
  </w:style>
  <w:style w:type="paragraph" w:styleId="24">
    <w:name w:val="toc 6"/>
    <w:basedOn w:val="1"/>
    <w:next w:val="1"/>
    <w:semiHidden/>
    <w:qFormat/>
    <w:uiPriority w:val="0"/>
    <w:pPr>
      <w:ind w:left="1200"/>
      <w:jc w:val="left"/>
    </w:pPr>
    <w:rPr>
      <w:rFonts w:asciiTheme="minorHAnsi" w:hAnsiTheme="minorHAnsi" w:cstheme="minorHAnsi"/>
      <w:sz w:val="18"/>
      <w:szCs w:val="18"/>
    </w:rPr>
  </w:style>
  <w:style w:type="paragraph" w:styleId="25">
    <w:name w:val="Body Text Indent 3"/>
    <w:basedOn w:val="1"/>
    <w:qFormat/>
    <w:uiPriority w:val="0"/>
    <w:pPr>
      <w:ind w:firstLine="645"/>
    </w:pPr>
    <w:rPr>
      <w:rFonts w:ascii="宋体"/>
    </w:rPr>
  </w:style>
  <w:style w:type="paragraph" w:styleId="26">
    <w:name w:val="table of figures"/>
    <w:basedOn w:val="1"/>
    <w:next w:val="1"/>
    <w:semiHidden/>
    <w:qFormat/>
    <w:uiPriority w:val="0"/>
    <w:pPr>
      <w:ind w:left="200" w:leftChars="200" w:hanging="200" w:hangingChars="200"/>
    </w:pPr>
  </w:style>
  <w:style w:type="paragraph" w:styleId="27">
    <w:name w:val="toc 2"/>
    <w:basedOn w:val="1"/>
    <w:next w:val="1"/>
    <w:qFormat/>
    <w:uiPriority w:val="39"/>
    <w:pPr>
      <w:ind w:left="238"/>
    </w:pPr>
    <w:rPr>
      <w:rFonts w:asciiTheme="minorHAnsi" w:hAnsiTheme="minorHAnsi" w:cstheme="minorHAnsi"/>
      <w:smallCaps/>
    </w:rPr>
  </w:style>
  <w:style w:type="paragraph" w:styleId="28">
    <w:name w:val="toc 9"/>
    <w:basedOn w:val="1"/>
    <w:next w:val="1"/>
    <w:semiHidden/>
    <w:qFormat/>
    <w:uiPriority w:val="0"/>
    <w:pPr>
      <w:ind w:left="1920"/>
      <w:jc w:val="left"/>
    </w:pPr>
    <w:rPr>
      <w:rFonts w:asciiTheme="minorHAnsi" w:hAnsiTheme="minorHAnsi" w:cstheme="minorHAnsi"/>
      <w:sz w:val="18"/>
      <w:szCs w:val="18"/>
    </w:rPr>
  </w:style>
  <w:style w:type="paragraph" w:styleId="29">
    <w:name w:val="Normal (Web)"/>
    <w:basedOn w:val="1"/>
    <w:link w:val="60"/>
    <w:qFormat/>
    <w:uiPriority w:val="0"/>
    <w:pPr>
      <w:widowControl/>
      <w:spacing w:before="100" w:beforeAutospacing="1" w:after="100" w:afterAutospacing="1"/>
      <w:jc w:val="left"/>
    </w:pPr>
    <w:rPr>
      <w:rFonts w:hint="eastAsia" w:ascii="宋体" w:hAnsi="宋体" w:cs="Arial Unicode MS"/>
      <w:kern w:val="0"/>
      <w:szCs w:val="24"/>
    </w:rPr>
  </w:style>
  <w:style w:type="paragraph" w:styleId="30">
    <w:name w:val="annotation subject"/>
    <w:basedOn w:val="10"/>
    <w:next w:val="10"/>
    <w:link w:val="54"/>
    <w:qFormat/>
    <w:uiPriority w:val="0"/>
    <w:rPr>
      <w:b/>
      <w:bCs/>
    </w:r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semiHidden/>
    <w:qFormat/>
    <w:uiPriority w:val="0"/>
    <w:rPr>
      <w:sz w:val="21"/>
    </w:rPr>
  </w:style>
  <w:style w:type="paragraph" w:customStyle="1" w:styleId="37">
    <w:name w:val="说明1"/>
    <w:basedOn w:val="1"/>
    <w:qFormat/>
    <w:uiPriority w:val="0"/>
    <w:pPr>
      <w:numPr>
        <w:ilvl w:val="0"/>
        <w:numId w:val="1"/>
      </w:numPr>
      <w:suppressLineNumbers/>
      <w:spacing w:line="440" w:lineRule="exact"/>
      <w:ind w:left="851" w:hanging="284"/>
    </w:pPr>
    <w:rPr>
      <w:kern w:val="21"/>
      <w:sz w:val="28"/>
    </w:rPr>
  </w:style>
  <w:style w:type="paragraph" w:customStyle="1" w:styleId="38">
    <w:name w:val="正文文本缩进 21"/>
    <w:basedOn w:val="1"/>
    <w:qFormat/>
    <w:uiPriority w:val="0"/>
    <w:pPr>
      <w:adjustRightInd w:val="0"/>
      <w:jc w:val="left"/>
      <w:textAlignment w:val="baseline"/>
    </w:pPr>
    <w:rPr>
      <w:rFonts w:eastAsia="楷体_GB2312"/>
      <w:sz w:val="30"/>
    </w:rPr>
  </w:style>
  <w:style w:type="paragraph" w:customStyle="1" w:styleId="39">
    <w:name w:val="zw"/>
    <w:basedOn w:val="1"/>
    <w:link w:val="65"/>
    <w:qFormat/>
    <w:uiPriority w:val="0"/>
    <w:pPr>
      <w:autoSpaceDE w:val="0"/>
      <w:autoSpaceDN w:val="0"/>
      <w:adjustRightInd w:val="0"/>
      <w:spacing w:before="60" w:after="60" w:line="440" w:lineRule="atLeast"/>
      <w:ind w:firstLine="601"/>
      <w:textAlignment w:val="bottom"/>
    </w:pPr>
    <w:rPr>
      <w:rFonts w:ascii="Arial Narrow" w:hAnsi="Arial" w:eastAsia="昆仑楷体"/>
      <w:kern w:val="0"/>
      <w:sz w:val="28"/>
    </w:rPr>
  </w:style>
  <w:style w:type="paragraph" w:customStyle="1" w:styleId="40">
    <w:name w:val="ZW1"/>
    <w:basedOn w:val="1"/>
    <w:qFormat/>
    <w:uiPriority w:val="0"/>
    <w:pPr>
      <w:spacing w:before="120" w:line="360" w:lineRule="auto"/>
      <w:ind w:firstLine="567"/>
    </w:pPr>
    <w:rPr>
      <w:rFonts w:ascii="Arial Narrow" w:hAnsi="Arial Narrow"/>
    </w:rPr>
  </w:style>
  <w:style w:type="paragraph" w:customStyle="1" w:styleId="41">
    <w:name w:val="yl"/>
    <w:basedOn w:val="1"/>
    <w:qFormat/>
    <w:uiPriority w:val="0"/>
    <w:pPr>
      <w:spacing w:line="360" w:lineRule="auto"/>
      <w:ind w:firstLine="540" w:firstLineChars="225"/>
    </w:pPr>
    <w:rPr>
      <w:rFonts w:ascii="宋体" w:hAnsi="宋体"/>
    </w:rPr>
  </w:style>
  <w:style w:type="paragraph" w:customStyle="1" w:styleId="42">
    <w:name w:val="mfont"/>
    <w:basedOn w:val="1"/>
    <w:qFormat/>
    <w:uiPriority w:val="0"/>
    <w:pPr>
      <w:widowControl/>
      <w:spacing w:before="100" w:beforeAutospacing="1" w:after="100" w:afterAutospacing="1" w:line="320" w:lineRule="atLeast"/>
      <w:jc w:val="left"/>
    </w:pPr>
    <w:rPr>
      <w:rFonts w:ascii="Arial Unicode MS" w:hAnsi="Arial Unicode MS" w:eastAsia="Arial Unicode MS" w:cs="Arial Unicode MS"/>
      <w:spacing w:val="20"/>
      <w:kern w:val="0"/>
      <w:sz w:val="21"/>
      <w:szCs w:val="21"/>
    </w:rPr>
  </w:style>
  <w:style w:type="paragraph" w:customStyle="1" w:styleId="43">
    <w:name w:val="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4">
    <w:name w:val="H2"/>
    <w:basedOn w:val="1"/>
    <w:qFormat/>
    <w:uiPriority w:val="0"/>
    <w:pPr>
      <w:widowControl/>
      <w:adjustRightInd w:val="0"/>
      <w:spacing w:before="240" w:after="240" w:line="360" w:lineRule="atLeast"/>
      <w:ind w:right="28"/>
      <w:textAlignment w:val="baseline"/>
    </w:pPr>
    <w:rPr>
      <w:rFonts w:ascii="黑体" w:eastAsia="黑体"/>
      <w:b/>
      <w:kern w:val="0"/>
      <w:sz w:val="28"/>
    </w:rPr>
  </w:style>
  <w:style w:type="paragraph" w:customStyle="1" w:styleId="45">
    <w:name w:val="_Style 39"/>
    <w:basedOn w:val="1"/>
    <w:qFormat/>
    <w:uiPriority w:val="0"/>
    <w:rPr>
      <w:rFonts w:ascii="Tahoma" w:hAnsi="Tahoma"/>
    </w:rPr>
  </w:style>
  <w:style w:type="paragraph" w:customStyle="1" w:styleId="46">
    <w:name w:val="样式1"/>
    <w:basedOn w:val="26"/>
    <w:qFormat/>
    <w:uiPriority w:val="0"/>
    <w:pPr>
      <w:adjustRightInd w:val="0"/>
      <w:ind w:left="0" w:leftChars="0" w:firstLine="0" w:firstLineChars="0"/>
      <w:jc w:val="left"/>
      <w:textAlignment w:val="baseline"/>
    </w:pPr>
    <w:rPr>
      <w:rFonts w:ascii="宋体"/>
      <w:kern w:val="0"/>
      <w:sz w:val="18"/>
      <w:szCs w:val="24"/>
    </w:rPr>
  </w:style>
  <w:style w:type="paragraph" w:customStyle="1" w:styleId="47">
    <w:name w:val="Char2 Char Char Char Char Char Char"/>
    <w:basedOn w:val="1"/>
    <w:qFormat/>
    <w:uiPriority w:val="0"/>
    <w:rPr>
      <w:rFonts w:ascii="Tahoma" w:hAnsi="Tahoma"/>
    </w:rPr>
  </w:style>
  <w:style w:type="paragraph" w:customStyle="1" w:styleId="48">
    <w:name w:val="Char Char Char Char"/>
    <w:basedOn w:val="1"/>
    <w:qFormat/>
    <w:uiPriority w:val="0"/>
    <w:rPr>
      <w:rFonts w:ascii="Tahoma" w:hAnsi="Tahoma"/>
    </w:rPr>
  </w:style>
  <w:style w:type="paragraph" w:customStyle="1" w:styleId="49">
    <w:name w:val="fig"/>
    <w:basedOn w:val="1"/>
    <w:qFormat/>
    <w:uiPriority w:val="0"/>
    <w:pPr>
      <w:adjustRightInd w:val="0"/>
      <w:spacing w:before="120" w:after="240" w:line="360" w:lineRule="atLeast"/>
      <w:jc w:val="center"/>
      <w:textAlignment w:val="baseline"/>
    </w:pPr>
    <w:rPr>
      <w:rFonts w:ascii="黑体" w:eastAsia="黑体"/>
      <w:kern w:val="0"/>
    </w:rPr>
  </w:style>
  <w:style w:type="paragraph" w:customStyle="1" w:styleId="50">
    <w:name w:val="Char"/>
    <w:basedOn w:val="1"/>
    <w:qFormat/>
    <w:uiPriority w:val="0"/>
    <w:pPr>
      <w:widowControl/>
      <w:spacing w:after="160" w:line="240" w:lineRule="exact"/>
      <w:jc w:val="left"/>
    </w:pPr>
    <w:rPr>
      <w:rFonts w:ascii="Verdana" w:hAnsi="Verdana"/>
      <w:kern w:val="0"/>
      <w:sz w:val="20"/>
      <w:lang w:eastAsia="en-US"/>
    </w:rPr>
  </w:style>
  <w:style w:type="character" w:customStyle="1" w:styleId="51">
    <w:name w:val="标题 1 Char"/>
    <w:link w:val="2"/>
    <w:qFormat/>
    <w:uiPriority w:val="0"/>
    <w:rPr>
      <w:rFonts w:eastAsia="黑体"/>
      <w:b/>
      <w:kern w:val="44"/>
      <w:sz w:val="36"/>
      <w:lang w:val="en-US" w:eastAsia="zh-CN" w:bidi="ar-SA"/>
    </w:rPr>
  </w:style>
  <w:style w:type="paragraph" w:customStyle="1" w:styleId="52">
    <w:name w:val="Char Char Char Char Char Char Char Char Char Char Char Char Char"/>
    <w:basedOn w:val="1"/>
    <w:qFormat/>
    <w:uiPriority w:val="0"/>
    <w:rPr>
      <w:rFonts w:ascii="Tahoma" w:hAnsi="Tahoma"/>
    </w:rPr>
  </w:style>
  <w:style w:type="character" w:customStyle="1" w:styleId="53">
    <w:name w:val="批注文字 Char"/>
    <w:link w:val="10"/>
    <w:qFormat/>
    <w:uiPriority w:val="0"/>
    <w:rPr>
      <w:kern w:val="2"/>
      <w:sz w:val="24"/>
    </w:rPr>
  </w:style>
  <w:style w:type="character" w:customStyle="1" w:styleId="54">
    <w:name w:val="批注主题 Char"/>
    <w:link w:val="30"/>
    <w:qFormat/>
    <w:uiPriority w:val="0"/>
    <w:rPr>
      <w:b/>
      <w:bCs/>
      <w:kern w:val="2"/>
      <w:sz w:val="24"/>
    </w:rPr>
  </w:style>
  <w:style w:type="paragraph" w:customStyle="1" w:styleId="55">
    <w:name w:val="修订1"/>
    <w:hidden/>
    <w:semiHidden/>
    <w:qFormat/>
    <w:uiPriority w:val="99"/>
    <w:rPr>
      <w:rFonts w:ascii="Times New Roman" w:hAnsi="Times New Roman" w:eastAsia="宋体" w:cs="Times New Roman"/>
      <w:kern w:val="2"/>
      <w:sz w:val="24"/>
      <w:lang w:val="en-US" w:eastAsia="zh-CN" w:bidi="ar-SA"/>
    </w:rPr>
  </w:style>
  <w:style w:type="character" w:customStyle="1" w:styleId="56">
    <w:name w:val="正文缩进 Char"/>
    <w:link w:val="5"/>
    <w:qFormat/>
    <w:uiPriority w:val="0"/>
    <w:rPr>
      <w:sz w:val="24"/>
    </w:rPr>
  </w:style>
  <w:style w:type="paragraph" w:customStyle="1" w:styleId="57">
    <w:name w:val="默认段落字体 Para Char Char Char Char Char Char Char"/>
    <w:basedOn w:val="1"/>
    <w:qFormat/>
    <w:uiPriority w:val="0"/>
    <w:rPr>
      <w:rFonts w:ascii="Tahoma" w:hAnsi="Tahoma"/>
    </w:rPr>
  </w:style>
  <w:style w:type="character" w:customStyle="1" w:styleId="58">
    <w:name w:val="标题 2 Char"/>
    <w:link w:val="3"/>
    <w:qFormat/>
    <w:uiPriority w:val="0"/>
    <w:rPr>
      <w:rFonts w:ascii="Arial" w:hAnsi="Arial" w:eastAsia="黑体"/>
      <w:b/>
      <w:sz w:val="32"/>
    </w:rPr>
  </w:style>
  <w:style w:type="paragraph" w:customStyle="1" w:styleId="59">
    <w:name w:val="Char Char1 Char Char Char Char"/>
    <w:basedOn w:val="1"/>
    <w:qFormat/>
    <w:uiPriority w:val="0"/>
    <w:rPr>
      <w:sz w:val="21"/>
      <w:szCs w:val="21"/>
    </w:rPr>
  </w:style>
  <w:style w:type="character" w:customStyle="1" w:styleId="60">
    <w:name w:val="普通(网站) Char"/>
    <w:link w:val="29"/>
    <w:qFormat/>
    <w:locked/>
    <w:uiPriority w:val="0"/>
    <w:rPr>
      <w:rFonts w:ascii="宋体" w:hAnsi="宋体" w:cs="Arial Unicode MS"/>
      <w:sz w:val="24"/>
      <w:szCs w:val="24"/>
    </w:rPr>
  </w:style>
  <w:style w:type="character" w:customStyle="1" w:styleId="61">
    <w:name w:val="纯文本 Char"/>
    <w:link w:val="15"/>
    <w:qFormat/>
    <w:uiPriority w:val="0"/>
    <w:rPr>
      <w:rFonts w:ascii="宋体" w:hAnsi="Courier New"/>
      <w:kern w:val="2"/>
      <w:sz w:val="24"/>
    </w:rPr>
  </w:style>
  <w:style w:type="character" w:customStyle="1" w:styleId="62">
    <w:name w:val="页脚 Char"/>
    <w:link w:val="20"/>
    <w:qFormat/>
    <w:uiPriority w:val="0"/>
    <w:rPr>
      <w:kern w:val="2"/>
      <w:sz w:val="18"/>
    </w:rPr>
  </w:style>
  <w:style w:type="paragraph" w:customStyle="1" w:styleId="63">
    <w:name w:val="列出段落1"/>
    <w:basedOn w:val="1"/>
    <w:qFormat/>
    <w:uiPriority w:val="34"/>
    <w:pPr>
      <w:ind w:firstLine="420" w:firstLineChars="200"/>
    </w:pPr>
  </w:style>
  <w:style w:type="character" w:customStyle="1" w:styleId="64">
    <w:name w:val="页眉 Char"/>
    <w:basedOn w:val="32"/>
    <w:link w:val="21"/>
    <w:qFormat/>
    <w:uiPriority w:val="0"/>
    <w:rPr>
      <w:kern w:val="2"/>
      <w:sz w:val="18"/>
    </w:rPr>
  </w:style>
  <w:style w:type="character" w:customStyle="1" w:styleId="65">
    <w:name w:val="zw Char"/>
    <w:link w:val="39"/>
    <w:qFormat/>
    <w:uiPriority w:val="0"/>
    <w:rPr>
      <w:rFonts w:ascii="Arial Narrow" w:hAnsi="Arial" w:eastAsia="昆仑楷体"/>
      <w:sz w:val="28"/>
    </w:rPr>
  </w:style>
  <w:style w:type="paragraph" w:styleId="66">
    <w:name w:val="List Paragraph"/>
    <w:basedOn w:val="1"/>
    <w:unhideWhenUsed/>
    <w:qFormat/>
    <w:uiPriority w:val="99"/>
    <w:pPr>
      <w:ind w:firstLine="420" w:firstLineChars="200"/>
    </w:pPr>
  </w:style>
  <w:style w:type="character" w:customStyle="1" w:styleId="67">
    <w:name w:val="纯文本 Char1"/>
    <w:qFormat/>
    <w:uiPriority w:val="0"/>
    <w:rPr>
      <w:rFonts w:ascii="宋体" w:hAnsi="Courier New"/>
      <w:kern w:val="2"/>
      <w:sz w:val="24"/>
    </w:rPr>
  </w:style>
  <w:style w:type="character" w:customStyle="1" w:styleId="68">
    <w:name w:val="标题 7 Char"/>
    <w:basedOn w:val="32"/>
    <w:link w:val="7"/>
    <w:semiHidden/>
    <w:qFormat/>
    <w:uiPriority w:val="0"/>
    <w:rPr>
      <w:b/>
      <w:bCs/>
      <w:kern w:val="2"/>
      <w:sz w:val="24"/>
      <w:szCs w:val="24"/>
    </w:rPr>
  </w:style>
  <w:style w:type="paragraph" w:customStyle="1" w:styleId="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0">
    <w:name w:val="正文缩进 字符"/>
    <w:qFormat/>
    <w:uiPriority w:val="0"/>
    <w:rPr>
      <w:sz w:val="24"/>
    </w:rPr>
  </w:style>
  <w:style w:type="character" w:customStyle="1" w:styleId="71">
    <w:name w:val="正文缩进 Char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48CA9-246D-42DC-988F-DC3E6F3226D1}">
  <ds:schemaRefs/>
</ds:datastoreItem>
</file>

<file path=docProps/app.xml><?xml version="1.0" encoding="utf-8"?>
<Properties xmlns="http://schemas.openxmlformats.org/officeDocument/2006/extended-properties" xmlns:vt="http://schemas.openxmlformats.org/officeDocument/2006/docPropsVTypes">
  <Template>Normal.dotm</Template>
  <Company>xycpa.china</Company>
  <Pages>18</Pages>
  <Words>1926</Words>
  <Characters>10979</Characters>
  <Lines>91</Lines>
  <Paragraphs>25</Paragraphs>
  <TotalTime>212</TotalTime>
  <ScaleCrop>false</ScaleCrop>
  <LinksUpToDate>false</LinksUpToDate>
  <CharactersWithSpaces>12880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2021-09-22T08:04:00Z</dcterms:created>
  <dc:creator>xz</dc:creator>
  <cp:lastModifiedBy>あ</cp:lastModifiedBy>
  <cp:lastPrinted>2022-12-09T04:38:10Z</cp:lastPrinted>
  <dcterms:modified xsi:type="dcterms:W3CDTF">2022-12-09T06:41:10Z</dcterms:modified>
  <dc:title>报告格式</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F26B36318024461F99EAD8AFED2344AA</vt:lpwstr>
  </property>
</Properties>
</file>